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0696" w:rsidRDefault="003C585F">
      <w:pPr>
        <w:spacing w:line="276" w:lineRule="auto"/>
        <w:ind w:left="4535"/>
        <w:jc w:val="center"/>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Приложение № 2</w:t>
      </w:r>
      <w:r>
        <w:rPr>
          <w:rFonts w:ascii="Times New Roman" w:eastAsia="Times New Roman" w:hAnsi="Times New Roman" w:cs="Times New Roman"/>
          <w:sz w:val="28"/>
          <w:szCs w:val="28"/>
        </w:rPr>
        <w:br/>
        <w:t xml:space="preserve">к Методическим рекомендациям </w:t>
      </w:r>
      <w:r>
        <w:rPr>
          <w:rFonts w:ascii="Times New Roman" w:eastAsia="Times New Roman" w:hAnsi="Times New Roman" w:cs="Times New Roman"/>
          <w:sz w:val="28"/>
          <w:szCs w:val="28"/>
        </w:rPr>
        <w:br/>
        <w:t>по применению аудита соответствия</w:t>
      </w:r>
    </w:p>
    <w:p w:rsidR="00990696" w:rsidRDefault="00990696">
      <w:pPr>
        <w:pBdr>
          <w:top w:val="nil"/>
          <w:left w:val="nil"/>
          <w:bottom w:val="nil"/>
          <w:right w:val="nil"/>
          <w:between w:val="nil"/>
        </w:pBdr>
        <w:tabs>
          <w:tab w:val="left" w:pos="851"/>
        </w:tabs>
        <w:jc w:val="center"/>
        <w:rPr>
          <w:rFonts w:ascii="Times New Roman" w:eastAsia="Times New Roman" w:hAnsi="Times New Roman" w:cs="Times New Roman"/>
          <w:b/>
          <w:sz w:val="16"/>
          <w:szCs w:val="16"/>
        </w:rPr>
      </w:pPr>
    </w:p>
    <w:p w:rsidR="00990696" w:rsidRDefault="003C585F">
      <w:pPr>
        <w:pBdr>
          <w:top w:val="nil"/>
          <w:left w:val="nil"/>
          <w:bottom w:val="nil"/>
          <w:right w:val="nil"/>
          <w:between w:val="nil"/>
        </w:pBd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Подходы к определению существенности в контрольных и (или) экспертно-аналитических мероприятиях с применением аудита соответствия</w:t>
      </w:r>
    </w:p>
    <w:p w:rsidR="00990696" w:rsidRDefault="00990696">
      <w:pPr>
        <w:widowControl w:val="0"/>
        <w:spacing w:after="0" w:line="360" w:lineRule="auto"/>
        <w:jc w:val="both"/>
        <w:rPr>
          <w:rFonts w:ascii="Times New Roman" w:eastAsia="Times New Roman" w:hAnsi="Times New Roman" w:cs="Times New Roman"/>
          <w:b/>
          <w:sz w:val="28"/>
          <w:szCs w:val="28"/>
        </w:rPr>
      </w:pPr>
    </w:p>
    <w:p w:rsidR="00990696" w:rsidRDefault="003C585F" w:rsidP="008D12A7">
      <w:pPr>
        <w:tabs>
          <w:tab w:val="left" w:pos="851"/>
        </w:tabs>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 Общие подходы к определению существенности</w:t>
      </w:r>
    </w:p>
    <w:p w:rsidR="00990696" w:rsidRDefault="003C585F" w:rsidP="003C18C7">
      <w:pPr>
        <w:tabs>
          <w:tab w:val="left" w:pos="851"/>
        </w:tabs>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1.1. В общем виде оценка существенности осуществляется согласно схеме, представленной на рисунке 1.</w:t>
      </w:r>
    </w:p>
    <w:p w:rsidR="00990696" w:rsidRDefault="003C585F">
      <w:pPr>
        <w:tabs>
          <w:tab w:val="left" w:pos="851"/>
        </w:tabs>
        <w:jc w:val="center"/>
        <w:rPr>
          <w:rFonts w:ascii="Times New Roman" w:eastAsia="Times New Roman" w:hAnsi="Times New Roman" w:cs="Times New Roman"/>
          <w:b/>
          <w:sz w:val="28"/>
          <w:szCs w:val="28"/>
        </w:rPr>
      </w:pPr>
      <w:r>
        <w:rPr>
          <w:rFonts w:ascii="Times New Roman" w:eastAsia="Times New Roman" w:hAnsi="Times New Roman" w:cs="Times New Roman"/>
          <w:b/>
          <w:noProof/>
          <w:sz w:val="28"/>
          <w:szCs w:val="28"/>
        </w:rPr>
        <w:drawing>
          <wp:inline distT="114300" distB="114300" distL="114300" distR="114300">
            <wp:extent cx="5954078" cy="2990850"/>
            <wp:effectExtent l="0" t="0" r="0" b="0"/>
            <wp:docPr id="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954078" cy="2990850"/>
                    </a:xfrm>
                    <a:prstGeom prst="rect">
                      <a:avLst/>
                    </a:prstGeom>
                    <a:ln/>
                  </pic:spPr>
                </pic:pic>
              </a:graphicData>
            </a:graphic>
          </wp:inline>
        </w:drawing>
      </w:r>
    </w:p>
    <w:p w:rsidR="00990696" w:rsidRDefault="003C585F" w:rsidP="00215085">
      <w:pPr>
        <w:tabs>
          <w:tab w:val="left" w:pos="851"/>
        </w:tabs>
        <w:spacing w:after="20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Рисунок 1. Оценка существенности в аудите соответствия.</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Существенность при проведении контрольного или экспертно-аналитического мероприятия (далее – мероприятие) с применением аудита соответствия допускается определять одним из следующих подходов:</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определение единой существенности для всех целей аудита соответствия (подход 1);</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определение существенности по каждой цели аудита соответствия (подход 2);</w:t>
      </w:r>
    </w:p>
    <w:p w:rsidR="00990696" w:rsidRDefault="003C585F">
      <w:pPr>
        <w:tabs>
          <w:tab w:val="left" w:pos="851"/>
        </w:tabs>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определение существенности по каждой цели аудита соответствия в разрезе объектов аудита соответствия (далее – объекты аудита) или аспектов предмета аудита соответствия (далее – предмет аудита) (подход 3).</w:t>
      </w:r>
    </w:p>
    <w:p w:rsidR="00990696" w:rsidRDefault="003C585F">
      <w:pPr>
        <w:tabs>
          <w:tab w:val="left" w:pos="851"/>
        </w:tabs>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Применимый подход к определению существенности в конкретном мероприятии определяется на основании профессионального суждения участников мероприятия по согласованию с членом Коллегии Счетной палаты Российской Федерации (далее – Счетная палата), ответственным за проведение мероприятия.</w:t>
      </w:r>
    </w:p>
    <w:p w:rsidR="00990696" w:rsidRDefault="003C585F">
      <w:pPr>
        <w:tabs>
          <w:tab w:val="left" w:pos="851"/>
        </w:tabs>
        <w:spacing w:after="0" w:line="360" w:lineRule="auto"/>
        <w:ind w:firstLine="708"/>
        <w:jc w:val="both"/>
      </w:pPr>
      <w:r>
        <w:rPr>
          <w:rFonts w:ascii="Times New Roman" w:eastAsia="Times New Roman" w:hAnsi="Times New Roman" w:cs="Times New Roman"/>
          <w:sz w:val="28"/>
          <w:szCs w:val="28"/>
        </w:rPr>
        <w:t>В общем виде допустимые подходы к определению существенности представлены на рисунке 2.</w:t>
      </w:r>
    </w:p>
    <w:p w:rsidR="00990696" w:rsidRDefault="003C585F" w:rsidP="00215085">
      <w:pPr>
        <w:tabs>
          <w:tab w:val="left" w:pos="851"/>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114300" distB="114300" distL="114300" distR="114300">
            <wp:extent cx="5990273" cy="2867025"/>
            <wp:effectExtent l="0" t="0" r="0" b="0"/>
            <wp:docPr id="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5990273" cy="2867025"/>
                    </a:xfrm>
                    <a:prstGeom prst="rect">
                      <a:avLst/>
                    </a:prstGeom>
                    <a:ln/>
                  </pic:spPr>
                </pic:pic>
              </a:graphicData>
            </a:graphic>
          </wp:inline>
        </w:drawing>
      </w:r>
    </w:p>
    <w:p w:rsidR="00990696" w:rsidRDefault="003C585F">
      <w:pPr>
        <w:tabs>
          <w:tab w:val="left" w:pos="851"/>
        </w:tabs>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Рисунок 2. Подходы к определению существенности в аудите соответствия.</w:t>
      </w:r>
    </w:p>
    <w:p w:rsidR="00990696" w:rsidRDefault="003C585F" w:rsidP="003C18C7">
      <w:pPr>
        <w:tabs>
          <w:tab w:val="left" w:pos="851"/>
        </w:tabs>
        <w:spacing w:before="200"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Подход к определению существенности по каждой цели аудита соответствия в разрезе объектов аудита или аспектов предмета аудита рекомендуется применять, если несоответствия по таким объектам аудита или аспектам предмета аудита могут повлиять на решения пользователей о результатах мероприятия.</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Выявление аспектов предмета аудита может осуществляться в том числе на основе:</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вопросов к цели аудита соответствия; </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гипотез к цели аудита соответствия, сформулированных при подготовке годового плана работы Счетной палаты и (или) в ходе подготовки дизайна мероприятия;</w:t>
      </w:r>
    </w:p>
    <w:p w:rsidR="00990696" w:rsidRDefault="003C585F" w:rsidP="003C18C7">
      <w:pPr>
        <w:tabs>
          <w:tab w:val="left" w:pos="851"/>
        </w:tabs>
        <w:spacing w:after="20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нормативных правовых актов, иных документов, являющихся основой для разработки критериев аудита соответствия (например, документы, регламентирующие проведение конкретного этапа закупок).</w:t>
      </w:r>
    </w:p>
    <w:tbl>
      <w:tblPr>
        <w:tblStyle w:val="aff3"/>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617"/>
      </w:tblGrid>
      <w:tr w:rsidR="00990696" w:rsidRPr="00215085" w:rsidTr="003C18C7">
        <w:tc>
          <w:tcPr>
            <w:tcW w:w="5000" w:type="pct"/>
            <w:shd w:val="clear" w:color="auto" w:fill="auto"/>
            <w:tcMar>
              <w:top w:w="100" w:type="dxa"/>
              <w:left w:w="100" w:type="dxa"/>
              <w:bottom w:w="100" w:type="dxa"/>
              <w:right w:w="100" w:type="dxa"/>
            </w:tcMar>
          </w:tcPr>
          <w:p w:rsidR="00990696" w:rsidRPr="00215085" w:rsidRDefault="003C585F" w:rsidP="00215085">
            <w:pPr>
              <w:tabs>
                <w:tab w:val="left" w:pos="851"/>
              </w:tabs>
              <w:spacing w:after="0" w:line="240" w:lineRule="auto"/>
              <w:ind w:left="142" w:firstLine="566"/>
              <w:jc w:val="both"/>
              <w:rPr>
                <w:rFonts w:ascii="Times New Roman" w:eastAsia="Times New Roman" w:hAnsi="Times New Roman" w:cs="Times New Roman"/>
                <w:sz w:val="24"/>
                <w:szCs w:val="24"/>
              </w:rPr>
            </w:pPr>
            <w:r w:rsidRPr="00215085">
              <w:rPr>
                <w:rFonts w:ascii="Times New Roman" w:eastAsia="Times New Roman" w:hAnsi="Times New Roman" w:cs="Times New Roman"/>
                <w:b/>
                <w:sz w:val="24"/>
                <w:szCs w:val="24"/>
              </w:rPr>
              <w:t xml:space="preserve">ПРИМЕРЫ </w:t>
            </w:r>
            <w:r w:rsidRPr="00215085">
              <w:rPr>
                <w:rFonts w:ascii="Times New Roman" w:eastAsia="Times New Roman" w:hAnsi="Times New Roman" w:cs="Times New Roman"/>
                <w:sz w:val="24"/>
                <w:szCs w:val="24"/>
              </w:rPr>
              <w:t>(РЕКОМЕНДУЕМАЯ ПРАКТИКА)</w:t>
            </w:r>
          </w:p>
        </w:tc>
      </w:tr>
      <w:tr w:rsidR="00990696" w:rsidRPr="00215085" w:rsidTr="003C18C7">
        <w:tc>
          <w:tcPr>
            <w:tcW w:w="5000" w:type="pct"/>
            <w:shd w:val="clear" w:color="auto" w:fill="auto"/>
            <w:tcMar>
              <w:top w:w="100" w:type="dxa"/>
              <w:left w:w="100" w:type="dxa"/>
              <w:bottom w:w="100" w:type="dxa"/>
              <w:right w:w="100" w:type="dxa"/>
            </w:tcMar>
          </w:tcPr>
          <w:p w:rsidR="00990696" w:rsidRPr="00215085" w:rsidRDefault="003C585F" w:rsidP="00215085">
            <w:pPr>
              <w:tabs>
                <w:tab w:val="left" w:pos="851"/>
              </w:tabs>
              <w:spacing w:after="0" w:line="240" w:lineRule="auto"/>
              <w:ind w:left="142" w:firstLine="566"/>
              <w:jc w:val="both"/>
              <w:rPr>
                <w:rFonts w:ascii="Times New Roman" w:eastAsia="Times New Roman" w:hAnsi="Times New Roman" w:cs="Times New Roman"/>
                <w:i/>
                <w:sz w:val="24"/>
                <w:szCs w:val="24"/>
              </w:rPr>
            </w:pPr>
            <w:r w:rsidRPr="00215085">
              <w:rPr>
                <w:rFonts w:ascii="Times New Roman" w:eastAsia="Times New Roman" w:hAnsi="Times New Roman" w:cs="Times New Roman"/>
                <w:i/>
                <w:sz w:val="24"/>
                <w:szCs w:val="24"/>
              </w:rPr>
              <w:t>Определение существенности на уровне отдельных аспектов предмета аудита</w:t>
            </w:r>
          </w:p>
          <w:p w:rsidR="00990696" w:rsidRPr="00215085" w:rsidRDefault="003C585F" w:rsidP="00215085">
            <w:pPr>
              <w:tabs>
                <w:tab w:val="left" w:pos="851"/>
              </w:tabs>
              <w:spacing w:after="0" w:line="240" w:lineRule="auto"/>
              <w:ind w:left="142" w:firstLine="566"/>
              <w:jc w:val="both"/>
              <w:rPr>
                <w:rFonts w:ascii="Times New Roman" w:eastAsia="Times New Roman" w:hAnsi="Times New Roman" w:cs="Times New Roman"/>
                <w:sz w:val="24"/>
                <w:szCs w:val="24"/>
              </w:rPr>
            </w:pPr>
            <w:r w:rsidRPr="00215085">
              <w:rPr>
                <w:rFonts w:ascii="Times New Roman" w:eastAsia="Times New Roman" w:hAnsi="Times New Roman" w:cs="Times New Roman"/>
                <w:sz w:val="24"/>
                <w:szCs w:val="24"/>
              </w:rPr>
              <w:t xml:space="preserve">При проведении мероприятия, касающегося строительства научно-клинического центра и лаборатории, были сформулированы следующие вопросы к цели по аудиту соответствия: </w:t>
            </w:r>
          </w:p>
          <w:p w:rsidR="00990696" w:rsidRPr="00215085" w:rsidRDefault="003C585F" w:rsidP="00215085">
            <w:pPr>
              <w:tabs>
                <w:tab w:val="left" w:pos="851"/>
              </w:tabs>
              <w:spacing w:after="0" w:line="240" w:lineRule="auto"/>
              <w:ind w:left="142" w:firstLine="566"/>
              <w:jc w:val="both"/>
              <w:rPr>
                <w:rFonts w:ascii="Times New Roman" w:eastAsia="Times New Roman" w:hAnsi="Times New Roman" w:cs="Times New Roman"/>
                <w:sz w:val="24"/>
                <w:szCs w:val="24"/>
              </w:rPr>
            </w:pPr>
            <w:r w:rsidRPr="00215085">
              <w:rPr>
                <w:rFonts w:ascii="Times New Roman" w:eastAsia="Times New Roman" w:hAnsi="Times New Roman" w:cs="Times New Roman"/>
                <w:sz w:val="24"/>
                <w:szCs w:val="24"/>
              </w:rPr>
              <w:t>Вопрос 1: Проверить 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организации закупок в ходе создания научно-клинического центра и лаборатории.</w:t>
            </w:r>
          </w:p>
          <w:p w:rsidR="00990696" w:rsidRPr="00215085" w:rsidRDefault="003C585F" w:rsidP="00215085">
            <w:pPr>
              <w:tabs>
                <w:tab w:val="left" w:pos="851"/>
              </w:tabs>
              <w:spacing w:after="0" w:line="240" w:lineRule="auto"/>
              <w:ind w:left="142" w:firstLine="566"/>
              <w:jc w:val="both"/>
              <w:rPr>
                <w:rFonts w:ascii="Times New Roman" w:eastAsia="Times New Roman" w:hAnsi="Times New Roman" w:cs="Times New Roman"/>
                <w:sz w:val="24"/>
                <w:szCs w:val="24"/>
              </w:rPr>
            </w:pPr>
            <w:r w:rsidRPr="00215085">
              <w:rPr>
                <w:rFonts w:ascii="Times New Roman" w:eastAsia="Times New Roman" w:hAnsi="Times New Roman" w:cs="Times New Roman"/>
                <w:sz w:val="24"/>
                <w:szCs w:val="24"/>
              </w:rPr>
              <w:t>Вопрос 2: Проанализировать соблюдение требований законодательства о градостроительной деятельности к составу разделов проектной документации и их содержанию при подготовке проектно-сметной документации по созданию научно-клинического центра и лаборатории.</w:t>
            </w:r>
          </w:p>
          <w:p w:rsidR="00990696" w:rsidRPr="00215085" w:rsidRDefault="003C585F" w:rsidP="00215085">
            <w:pPr>
              <w:tabs>
                <w:tab w:val="left" w:pos="851"/>
              </w:tabs>
              <w:spacing w:after="0" w:line="240" w:lineRule="auto"/>
              <w:ind w:left="142" w:firstLine="566"/>
              <w:jc w:val="both"/>
              <w:rPr>
                <w:rFonts w:ascii="Times New Roman" w:eastAsia="Times New Roman" w:hAnsi="Times New Roman" w:cs="Times New Roman"/>
                <w:sz w:val="24"/>
                <w:szCs w:val="24"/>
              </w:rPr>
            </w:pPr>
            <w:r w:rsidRPr="00215085">
              <w:rPr>
                <w:rFonts w:ascii="Times New Roman" w:eastAsia="Times New Roman" w:hAnsi="Times New Roman" w:cs="Times New Roman"/>
                <w:sz w:val="24"/>
                <w:szCs w:val="24"/>
              </w:rPr>
              <w:t>При этом в ходе мероприятия предполагается рассматривать указанные в вопросах 1 и 2 аспекты деятельности объектов аудита как в отношении строительства научно-клинического центра в одном регионе Российской Федерации, так и в отношении строительства лаборатории в другом регионе Российской Федерации.</w:t>
            </w:r>
          </w:p>
          <w:p w:rsidR="00990696" w:rsidRPr="00215085" w:rsidRDefault="003C585F" w:rsidP="00215085">
            <w:pPr>
              <w:tabs>
                <w:tab w:val="left" w:pos="851"/>
              </w:tabs>
              <w:spacing w:after="0" w:line="240" w:lineRule="auto"/>
              <w:ind w:left="142" w:firstLine="566"/>
              <w:jc w:val="both"/>
              <w:rPr>
                <w:rFonts w:ascii="Times New Roman" w:eastAsia="Times New Roman" w:hAnsi="Times New Roman" w:cs="Times New Roman"/>
                <w:i/>
                <w:sz w:val="24"/>
                <w:szCs w:val="24"/>
              </w:rPr>
            </w:pPr>
            <w:r w:rsidRPr="00215085">
              <w:rPr>
                <w:rFonts w:ascii="Times New Roman" w:eastAsia="Times New Roman" w:hAnsi="Times New Roman" w:cs="Times New Roman"/>
                <w:i/>
                <w:sz w:val="24"/>
                <w:szCs w:val="24"/>
              </w:rPr>
              <w:t>В данной ситуации существенность может быть определена на уровне отдельных аспектов предмета аудита по видам рассматриваемого законодательства (вариант 1) или по объектам строительства (вариант 2):</w:t>
            </w:r>
          </w:p>
          <w:p w:rsidR="00990696" w:rsidRPr="00215085" w:rsidRDefault="003C585F" w:rsidP="00215085">
            <w:pPr>
              <w:tabs>
                <w:tab w:val="left" w:pos="851"/>
              </w:tabs>
              <w:spacing w:after="0" w:line="240" w:lineRule="auto"/>
              <w:ind w:left="142" w:firstLine="566"/>
              <w:jc w:val="both"/>
              <w:rPr>
                <w:rFonts w:ascii="Times New Roman" w:eastAsia="Times New Roman" w:hAnsi="Times New Roman" w:cs="Times New Roman"/>
                <w:sz w:val="24"/>
                <w:szCs w:val="24"/>
              </w:rPr>
            </w:pPr>
            <w:r w:rsidRPr="00215085">
              <w:rPr>
                <w:rFonts w:ascii="Times New Roman" w:eastAsia="Times New Roman" w:hAnsi="Times New Roman" w:cs="Times New Roman"/>
                <w:sz w:val="24"/>
                <w:szCs w:val="24"/>
              </w:rPr>
              <w:t>Вариант 1:</w:t>
            </w:r>
          </w:p>
          <w:p w:rsidR="00990696" w:rsidRPr="00215085" w:rsidRDefault="003C585F" w:rsidP="00215085">
            <w:pPr>
              <w:tabs>
                <w:tab w:val="left" w:pos="851"/>
              </w:tabs>
              <w:spacing w:after="0" w:line="240" w:lineRule="auto"/>
              <w:ind w:left="142" w:firstLine="563"/>
              <w:jc w:val="both"/>
              <w:rPr>
                <w:rFonts w:ascii="Times New Roman" w:eastAsia="Times New Roman" w:hAnsi="Times New Roman" w:cs="Times New Roman"/>
                <w:sz w:val="24"/>
                <w:szCs w:val="24"/>
              </w:rPr>
            </w:pPr>
            <w:r w:rsidRPr="00215085">
              <w:rPr>
                <w:rFonts w:ascii="Times New Roman" w:eastAsia="Times New Roman" w:hAnsi="Times New Roman" w:cs="Times New Roman"/>
                <w:sz w:val="24"/>
                <w:szCs w:val="24"/>
              </w:rPr>
              <w:t xml:space="preserve">1) Соответствие законодательству Российской Федерации о контрактной системе в сфере </w:t>
            </w:r>
            <w:r w:rsidRPr="00215085">
              <w:rPr>
                <w:rFonts w:ascii="Times New Roman" w:eastAsia="Times New Roman" w:hAnsi="Times New Roman" w:cs="Times New Roman"/>
                <w:b/>
                <w:sz w:val="24"/>
                <w:szCs w:val="24"/>
              </w:rPr>
              <w:t>закупок товаров, работ, услуг</w:t>
            </w:r>
            <w:r w:rsidRPr="00215085">
              <w:rPr>
                <w:rFonts w:ascii="Times New Roman" w:eastAsia="Times New Roman" w:hAnsi="Times New Roman" w:cs="Times New Roman"/>
                <w:sz w:val="24"/>
                <w:szCs w:val="24"/>
              </w:rPr>
              <w:t xml:space="preserve"> для обеспечения государственных и муниципальных нужд при строительстве научно-клинического центра и лаборатории;</w:t>
            </w:r>
          </w:p>
          <w:p w:rsidR="00990696" w:rsidRPr="00215085" w:rsidRDefault="003C585F" w:rsidP="00215085">
            <w:pPr>
              <w:tabs>
                <w:tab w:val="left" w:pos="851"/>
              </w:tabs>
              <w:spacing w:after="0" w:line="240" w:lineRule="auto"/>
              <w:ind w:left="142" w:firstLine="563"/>
              <w:jc w:val="both"/>
              <w:rPr>
                <w:rFonts w:ascii="Times New Roman" w:eastAsia="Times New Roman" w:hAnsi="Times New Roman" w:cs="Times New Roman"/>
                <w:sz w:val="24"/>
                <w:szCs w:val="24"/>
              </w:rPr>
            </w:pPr>
            <w:r w:rsidRPr="00215085">
              <w:rPr>
                <w:rFonts w:ascii="Times New Roman" w:eastAsia="Times New Roman" w:hAnsi="Times New Roman" w:cs="Times New Roman"/>
                <w:sz w:val="24"/>
                <w:szCs w:val="24"/>
              </w:rPr>
              <w:t xml:space="preserve">2) Соответствие законодательству о </w:t>
            </w:r>
            <w:r w:rsidRPr="00215085">
              <w:rPr>
                <w:rFonts w:ascii="Times New Roman" w:eastAsia="Times New Roman" w:hAnsi="Times New Roman" w:cs="Times New Roman"/>
                <w:b/>
                <w:sz w:val="24"/>
                <w:szCs w:val="24"/>
              </w:rPr>
              <w:t>градостроительной деятельности</w:t>
            </w:r>
            <w:r w:rsidRPr="00215085">
              <w:rPr>
                <w:rFonts w:ascii="Times New Roman" w:eastAsia="Times New Roman" w:hAnsi="Times New Roman" w:cs="Times New Roman"/>
                <w:sz w:val="24"/>
                <w:szCs w:val="24"/>
              </w:rPr>
              <w:t xml:space="preserve"> при строительстве научно-клинического центра и лаборатории.</w:t>
            </w:r>
          </w:p>
          <w:p w:rsidR="00990696" w:rsidRPr="00215085" w:rsidRDefault="003C585F" w:rsidP="00215085">
            <w:pPr>
              <w:tabs>
                <w:tab w:val="left" w:pos="851"/>
              </w:tabs>
              <w:spacing w:after="0" w:line="240" w:lineRule="auto"/>
              <w:ind w:left="142" w:firstLine="566"/>
              <w:jc w:val="both"/>
              <w:rPr>
                <w:rFonts w:ascii="Times New Roman" w:eastAsia="Times New Roman" w:hAnsi="Times New Roman" w:cs="Times New Roman"/>
                <w:sz w:val="24"/>
                <w:szCs w:val="24"/>
              </w:rPr>
            </w:pPr>
            <w:r w:rsidRPr="00215085">
              <w:rPr>
                <w:rFonts w:ascii="Times New Roman" w:eastAsia="Times New Roman" w:hAnsi="Times New Roman" w:cs="Times New Roman"/>
                <w:i/>
                <w:sz w:val="24"/>
                <w:szCs w:val="24"/>
              </w:rPr>
              <w:t xml:space="preserve">Вариант 1 позволит сконцентрироваться на деятельности, регламентируемой конкретными видами законодательства. </w:t>
            </w:r>
          </w:p>
          <w:p w:rsidR="00990696" w:rsidRPr="00215085" w:rsidRDefault="003C585F" w:rsidP="00215085">
            <w:pPr>
              <w:tabs>
                <w:tab w:val="left" w:pos="851"/>
              </w:tabs>
              <w:spacing w:after="0" w:line="240" w:lineRule="auto"/>
              <w:ind w:left="142" w:firstLine="563"/>
              <w:jc w:val="both"/>
              <w:rPr>
                <w:rFonts w:ascii="Times New Roman" w:eastAsia="Times New Roman" w:hAnsi="Times New Roman" w:cs="Times New Roman"/>
                <w:sz w:val="24"/>
                <w:szCs w:val="24"/>
              </w:rPr>
            </w:pPr>
            <w:r w:rsidRPr="00215085">
              <w:rPr>
                <w:rFonts w:ascii="Times New Roman" w:eastAsia="Times New Roman" w:hAnsi="Times New Roman" w:cs="Times New Roman"/>
                <w:sz w:val="24"/>
                <w:szCs w:val="24"/>
              </w:rPr>
              <w:t>Вариант 2:</w:t>
            </w:r>
          </w:p>
          <w:p w:rsidR="00990696" w:rsidRPr="00215085" w:rsidRDefault="003C585F" w:rsidP="00215085">
            <w:pPr>
              <w:numPr>
                <w:ilvl w:val="0"/>
                <w:numId w:val="1"/>
              </w:numPr>
              <w:tabs>
                <w:tab w:val="left" w:pos="851"/>
              </w:tabs>
              <w:spacing w:after="0" w:line="240" w:lineRule="auto"/>
              <w:ind w:left="142" w:firstLine="563"/>
              <w:jc w:val="both"/>
              <w:rPr>
                <w:rFonts w:ascii="Times New Roman" w:eastAsia="Times New Roman" w:hAnsi="Times New Roman" w:cs="Times New Roman"/>
                <w:sz w:val="24"/>
                <w:szCs w:val="24"/>
              </w:rPr>
            </w:pPr>
            <w:r w:rsidRPr="00215085">
              <w:rPr>
                <w:rFonts w:ascii="Times New Roman" w:eastAsia="Times New Roman" w:hAnsi="Times New Roman" w:cs="Times New Roman"/>
                <w:sz w:val="24"/>
                <w:szCs w:val="24"/>
              </w:rPr>
              <w:t xml:space="preserve">Соответствие законодательству </w:t>
            </w:r>
            <w:r w:rsidR="00AC6414" w:rsidRPr="00215085">
              <w:rPr>
                <w:rFonts w:ascii="Times New Roman" w:eastAsia="Times New Roman" w:hAnsi="Times New Roman" w:cs="Times New Roman"/>
                <w:sz w:val="24"/>
                <w:szCs w:val="24"/>
              </w:rPr>
              <w:t xml:space="preserve">Российской Федерации </w:t>
            </w:r>
            <w:r w:rsidRPr="00215085">
              <w:rPr>
                <w:rFonts w:ascii="Times New Roman" w:eastAsia="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 и законодательству о градостроительной деятельности при строительстве</w:t>
            </w:r>
            <w:r w:rsidRPr="00215085">
              <w:rPr>
                <w:rFonts w:ascii="Times New Roman" w:eastAsia="Times New Roman" w:hAnsi="Times New Roman" w:cs="Times New Roman"/>
                <w:b/>
                <w:sz w:val="24"/>
                <w:szCs w:val="24"/>
              </w:rPr>
              <w:t xml:space="preserve"> научно-клинического центра</w:t>
            </w:r>
            <w:r w:rsidRPr="00215085">
              <w:rPr>
                <w:rFonts w:ascii="Times New Roman" w:eastAsia="Times New Roman" w:hAnsi="Times New Roman" w:cs="Times New Roman"/>
                <w:sz w:val="24"/>
                <w:szCs w:val="24"/>
              </w:rPr>
              <w:t>;</w:t>
            </w:r>
          </w:p>
          <w:p w:rsidR="00990696" w:rsidRPr="00215085" w:rsidRDefault="003C585F" w:rsidP="00215085">
            <w:pPr>
              <w:numPr>
                <w:ilvl w:val="0"/>
                <w:numId w:val="1"/>
              </w:numPr>
              <w:tabs>
                <w:tab w:val="left" w:pos="851"/>
              </w:tabs>
              <w:spacing w:after="0" w:line="240" w:lineRule="auto"/>
              <w:ind w:left="142" w:firstLine="563"/>
              <w:jc w:val="both"/>
              <w:rPr>
                <w:rFonts w:ascii="Times New Roman" w:eastAsia="Times New Roman" w:hAnsi="Times New Roman" w:cs="Times New Roman"/>
                <w:i/>
                <w:sz w:val="24"/>
                <w:szCs w:val="24"/>
              </w:rPr>
            </w:pPr>
            <w:r w:rsidRPr="00215085">
              <w:rPr>
                <w:rFonts w:ascii="Times New Roman" w:eastAsia="Times New Roman" w:hAnsi="Times New Roman" w:cs="Times New Roman"/>
                <w:sz w:val="24"/>
                <w:szCs w:val="24"/>
              </w:rPr>
              <w:t xml:space="preserve">Соответствие законодательству </w:t>
            </w:r>
            <w:r w:rsidR="00AC6414" w:rsidRPr="00215085">
              <w:rPr>
                <w:rFonts w:ascii="Times New Roman" w:eastAsia="Times New Roman" w:hAnsi="Times New Roman" w:cs="Times New Roman"/>
                <w:sz w:val="24"/>
                <w:szCs w:val="24"/>
              </w:rPr>
              <w:t xml:space="preserve">Российской Федерации </w:t>
            </w:r>
            <w:r w:rsidRPr="00215085">
              <w:rPr>
                <w:rFonts w:ascii="Times New Roman" w:eastAsia="Times New Roman" w:hAnsi="Times New Roman" w:cs="Times New Roman"/>
                <w:sz w:val="24"/>
                <w:szCs w:val="24"/>
              </w:rPr>
              <w:t xml:space="preserve">о контрактной системе в сфере закупок товаров, работ, услуг для обеспечения государственных и муниципальных нужд и законодательству о градостроительной деятельности при строительстве </w:t>
            </w:r>
            <w:r w:rsidRPr="00215085">
              <w:rPr>
                <w:rFonts w:ascii="Times New Roman" w:eastAsia="Times New Roman" w:hAnsi="Times New Roman" w:cs="Times New Roman"/>
                <w:b/>
                <w:sz w:val="24"/>
                <w:szCs w:val="24"/>
              </w:rPr>
              <w:t>лаборатории</w:t>
            </w:r>
            <w:r w:rsidRPr="00215085">
              <w:rPr>
                <w:rFonts w:ascii="Times New Roman" w:eastAsia="Times New Roman" w:hAnsi="Times New Roman" w:cs="Times New Roman"/>
                <w:sz w:val="24"/>
                <w:szCs w:val="24"/>
              </w:rPr>
              <w:t>.</w:t>
            </w:r>
          </w:p>
          <w:p w:rsidR="00990696" w:rsidRPr="00215085" w:rsidRDefault="003C585F" w:rsidP="00215085">
            <w:pPr>
              <w:tabs>
                <w:tab w:val="left" w:pos="851"/>
              </w:tabs>
              <w:spacing w:after="0" w:line="240" w:lineRule="auto"/>
              <w:ind w:left="142" w:firstLine="566"/>
              <w:jc w:val="both"/>
              <w:rPr>
                <w:rFonts w:ascii="Times New Roman" w:eastAsia="Times New Roman" w:hAnsi="Times New Roman" w:cs="Times New Roman"/>
                <w:i/>
                <w:sz w:val="24"/>
                <w:szCs w:val="24"/>
              </w:rPr>
            </w:pPr>
            <w:r w:rsidRPr="00215085">
              <w:rPr>
                <w:rFonts w:ascii="Times New Roman" w:eastAsia="Times New Roman" w:hAnsi="Times New Roman" w:cs="Times New Roman"/>
                <w:i/>
                <w:sz w:val="24"/>
                <w:szCs w:val="24"/>
              </w:rPr>
              <w:t>Вариант 2 позволит сконцентрироваться на деятельности по строительству отдельных объектов.</w:t>
            </w:r>
          </w:p>
        </w:tc>
      </w:tr>
    </w:tbl>
    <w:p w:rsidR="00990696" w:rsidRDefault="003C585F" w:rsidP="008D12A7">
      <w:pPr>
        <w:tabs>
          <w:tab w:val="left" w:pos="851"/>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Выбор контрольного показателя для расчета уровня существенности в мероприятии с применением аудита соответствия</w:t>
      </w:r>
    </w:p>
    <w:p w:rsidR="00990696" w:rsidRDefault="00990696">
      <w:pPr>
        <w:tabs>
          <w:tab w:val="left" w:pos="851"/>
        </w:tabs>
        <w:spacing w:after="0" w:line="240" w:lineRule="auto"/>
        <w:ind w:firstLine="708"/>
        <w:jc w:val="both"/>
        <w:rPr>
          <w:rFonts w:ascii="Times New Roman" w:eastAsia="Times New Roman" w:hAnsi="Times New Roman" w:cs="Times New Roman"/>
          <w:b/>
          <w:sz w:val="28"/>
          <w:szCs w:val="28"/>
        </w:rPr>
      </w:pPr>
    </w:p>
    <w:p w:rsidR="00990696" w:rsidRDefault="003C585F">
      <w:pPr>
        <w:tabs>
          <w:tab w:val="left" w:pos="851"/>
        </w:tabs>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На выбор контрольного показателя могут влиять следующие факторы:</w:t>
      </w:r>
    </w:p>
    <w:p w:rsidR="00990696" w:rsidRDefault="003C585F">
      <w:pPr>
        <w:tabs>
          <w:tab w:val="left" w:pos="851"/>
        </w:tabs>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специфика деятельности объекта аудита, отрасль и экономическая среда, в которых он ведет свою деятельность;</w:t>
      </w:r>
    </w:p>
    <w:p w:rsidR="00990696" w:rsidRDefault="003C585F">
      <w:pPr>
        <w:tabs>
          <w:tab w:val="left" w:pos="851"/>
        </w:tabs>
        <w:spacing w:after="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относительная изменчивость предполагаемого контрольного показателя;</w:t>
      </w:r>
    </w:p>
    <w:p w:rsidR="00990696" w:rsidRDefault="003C585F">
      <w:pPr>
        <w:tabs>
          <w:tab w:val="left" w:pos="851"/>
        </w:tabs>
        <w:spacing w:after="200" w:line="36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прочие факторы, определенные на основании профессионального суждения участников мероприятия, согласованные руководителем мероприятия с членом Коллегии Счетной палаты, ответственным за проведение мероприятия.</w:t>
      </w:r>
    </w:p>
    <w:tbl>
      <w:tblPr>
        <w:tblStyle w:val="aff4"/>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617"/>
      </w:tblGrid>
      <w:tr w:rsidR="00990696" w:rsidRPr="00215085" w:rsidTr="003C18C7">
        <w:tc>
          <w:tcPr>
            <w:tcW w:w="5000" w:type="pct"/>
            <w:shd w:val="clear" w:color="auto" w:fill="auto"/>
            <w:tcMar>
              <w:top w:w="100" w:type="dxa"/>
              <w:left w:w="100" w:type="dxa"/>
              <w:bottom w:w="100" w:type="dxa"/>
              <w:right w:w="100" w:type="dxa"/>
            </w:tcMar>
          </w:tcPr>
          <w:p w:rsidR="00990696" w:rsidRPr="00215085"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sidRPr="00215085">
              <w:rPr>
                <w:rFonts w:ascii="Times New Roman" w:eastAsia="Times New Roman" w:hAnsi="Times New Roman" w:cs="Times New Roman"/>
                <w:b/>
                <w:sz w:val="24"/>
                <w:szCs w:val="24"/>
              </w:rPr>
              <w:t xml:space="preserve">ПРИМЕР </w:t>
            </w:r>
            <w:r w:rsidRPr="00215085">
              <w:rPr>
                <w:rFonts w:ascii="Times New Roman" w:eastAsia="Times New Roman" w:hAnsi="Times New Roman" w:cs="Times New Roman"/>
                <w:sz w:val="24"/>
                <w:szCs w:val="24"/>
              </w:rPr>
              <w:t>(РЕКОМЕНДУЕМАЯ ПРАКТИКА)</w:t>
            </w:r>
          </w:p>
        </w:tc>
      </w:tr>
      <w:tr w:rsidR="00990696" w:rsidRPr="00215085" w:rsidTr="003C18C7">
        <w:tc>
          <w:tcPr>
            <w:tcW w:w="5000" w:type="pct"/>
            <w:shd w:val="clear" w:color="auto" w:fill="auto"/>
            <w:tcMar>
              <w:top w:w="100" w:type="dxa"/>
              <w:left w:w="100" w:type="dxa"/>
              <w:bottom w:w="100" w:type="dxa"/>
              <w:right w:w="100" w:type="dxa"/>
            </w:tcMar>
          </w:tcPr>
          <w:p w:rsidR="00990696" w:rsidRPr="00215085"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sidRPr="00215085">
              <w:rPr>
                <w:rFonts w:ascii="Times New Roman" w:eastAsia="Times New Roman" w:hAnsi="Times New Roman" w:cs="Times New Roman"/>
                <w:i/>
                <w:sz w:val="24"/>
                <w:szCs w:val="24"/>
              </w:rPr>
              <w:t>Выбор контрольного показателя</w:t>
            </w:r>
          </w:p>
          <w:p w:rsidR="00990696" w:rsidRPr="00215085"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sidRPr="00215085">
              <w:rPr>
                <w:rFonts w:ascii="Times New Roman" w:eastAsia="Times New Roman" w:hAnsi="Times New Roman" w:cs="Times New Roman"/>
                <w:sz w:val="24"/>
                <w:szCs w:val="24"/>
              </w:rPr>
              <w:t>Если целью мероприятия является проверка организации расходования средств на восстановление лесных ресурсов, то целесообразно в качестве контрольного показателя выбрать сумму бюджетных ассигнований, предусмотренную на данные мероприятия.</w:t>
            </w:r>
          </w:p>
          <w:p w:rsidR="00990696" w:rsidRPr="00215085"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sidRPr="00215085">
              <w:rPr>
                <w:rFonts w:ascii="Times New Roman" w:eastAsia="Times New Roman" w:hAnsi="Times New Roman" w:cs="Times New Roman"/>
                <w:sz w:val="24"/>
                <w:szCs w:val="24"/>
              </w:rPr>
              <w:t>Вместе с тем, если необходимо оценить именно результаты деятельности объекта аудита по восстановлению лесных ресурсов, целесообразно в качестве контрольного показателя выбрать планируемую к окончанию рассматриваемого периода площадь лесных насаждений.</w:t>
            </w:r>
          </w:p>
        </w:tc>
      </w:tr>
    </w:tbl>
    <w:p w:rsidR="00990696" w:rsidRDefault="003C585F" w:rsidP="00215085">
      <w:pPr>
        <w:tabs>
          <w:tab w:val="left" w:pos="851"/>
        </w:tabs>
        <w:spacing w:before="200" w:after="20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Выбор контрольного показателя осуществляется с учетом подходов к определению существенности, указанных в пункте 1.2 настоящего приложения. </w:t>
      </w:r>
    </w:p>
    <w:tbl>
      <w:tblPr>
        <w:tblStyle w:val="aff5"/>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617"/>
      </w:tblGrid>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ПРИМЕРЫ </w:t>
            </w:r>
            <w:r>
              <w:rPr>
                <w:rFonts w:ascii="Times New Roman" w:eastAsia="Times New Roman" w:hAnsi="Times New Roman" w:cs="Times New Roman"/>
                <w:sz w:val="24"/>
                <w:szCs w:val="24"/>
              </w:rPr>
              <w:t>(РЕКОМЕНДУЕМАЯ ПРАКТИКА)</w:t>
            </w:r>
          </w:p>
        </w:tc>
      </w:tr>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highlight w:val="yellow"/>
              </w:rPr>
            </w:pPr>
            <w:r>
              <w:rPr>
                <w:rFonts w:ascii="Times New Roman" w:eastAsia="Times New Roman" w:hAnsi="Times New Roman" w:cs="Times New Roman"/>
                <w:i/>
                <w:sz w:val="24"/>
                <w:szCs w:val="24"/>
              </w:rPr>
              <w:t>Определение контрольного показателя на уровне отдельного аспекта предмета аудита</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проведении мероприятия в отношении Федеральной налоговой службы в качестве контрольного показателя для определения существенности по цели аудита соответствия выбрана величина доходов, администрируемых данным объектом аудита, поскольку доходы являются наиболее значимым элементом отчетности объекта аудита. Величина доходов Федеральной налоговой службы значительно превышает величину расходов Федеральной налоговой службы, а рассчитанный на основе выбранного контрольного показателя уровень существенности в несколько раз превышает величину расходов.</w:t>
            </w:r>
          </w:p>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В данном примере несоответствия, составляющие значительную часть расходов, могут быть сочтены несущественными, что по сути является ошибочным. Таким образом, применение в качестве контрольного показателя для определения существенности по цели аудита соответствия только показателя доходов может привести к некорректным выводам и необнаружению несоответствий, связанных с расходами Федеральной налоговой службы. В данном случае при рассмотрении вопросов, связанных с оценкой соответствия деятельности Федеральной налоговой службы в </w:t>
            </w:r>
            <w:r>
              <w:rPr>
                <w:rFonts w:ascii="Times New Roman" w:eastAsia="Times New Roman" w:hAnsi="Times New Roman" w:cs="Times New Roman"/>
                <w:i/>
                <w:sz w:val="24"/>
                <w:szCs w:val="24"/>
              </w:rPr>
              <w:lastRenderedPageBreak/>
              <w:t>отношении расходов, целесообразно применить подход 3 к определению существенности (см. пункт 1.2 настоящего приложения) и в качестве контрольного показателя взять также показатель расходов.</w:t>
            </w:r>
          </w:p>
        </w:tc>
      </w:tr>
    </w:tbl>
    <w:p w:rsidR="00990696" w:rsidRDefault="003C585F" w:rsidP="003C18C7">
      <w:pPr>
        <w:tabs>
          <w:tab w:val="left" w:pos="851"/>
        </w:tabs>
        <w:spacing w:before="400"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2.3. Выбор контрольного показателя рекомендуется сопровождать оценкой однородности указанного показателя</w:t>
      </w:r>
      <w:r>
        <w:rPr>
          <w:rFonts w:ascii="Times New Roman" w:eastAsia="Times New Roman" w:hAnsi="Times New Roman" w:cs="Times New Roman"/>
          <w:sz w:val="28"/>
          <w:szCs w:val="28"/>
          <w:vertAlign w:val="superscript"/>
        </w:rPr>
        <w:footnoteReference w:id="1"/>
      </w:r>
      <w:r>
        <w:rPr>
          <w:rFonts w:ascii="Times New Roman" w:eastAsia="Times New Roman" w:hAnsi="Times New Roman" w:cs="Times New Roman"/>
          <w:sz w:val="28"/>
          <w:szCs w:val="28"/>
        </w:rPr>
        <w:t xml:space="preserve">. </w:t>
      </w:r>
    </w:p>
    <w:p w:rsidR="00990696" w:rsidRDefault="003C585F" w:rsidP="003C18C7">
      <w:pPr>
        <w:tabs>
          <w:tab w:val="left" w:pos="851"/>
        </w:tabs>
        <w:spacing w:after="20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Однородными показателями, как правило, являются показатели, измеряемые в денежном выражении. Неоднородными могут быть иные виды показателей, например</w:t>
      </w:r>
      <w:r w:rsidR="00AC641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показатели государственных программ ввиду их отличия по содержанию, субъекты Российской Федерации ввиду их различий по площади, населению и т. д. Неоднородные показатели не рекомендуется использовать в качестве контрольных показателей для расчета уровня существенности.</w:t>
      </w:r>
    </w:p>
    <w:tbl>
      <w:tblPr>
        <w:tblStyle w:val="aff6"/>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617"/>
      </w:tblGrid>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ПРИМЕР </w:t>
            </w:r>
            <w:r>
              <w:rPr>
                <w:rFonts w:ascii="Times New Roman" w:eastAsia="Times New Roman" w:hAnsi="Times New Roman" w:cs="Times New Roman"/>
                <w:sz w:val="24"/>
                <w:szCs w:val="24"/>
              </w:rPr>
              <w:t>(НЕРЕКОМЕНДУЕМАЯ ПРАКТИКА)</w:t>
            </w:r>
          </w:p>
        </w:tc>
      </w:tr>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Выбор неоднородного показателя в качестве контрольного показателя для расчета уровня существенности</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Участниками мероприятия было принято решение использовать в качестве контрольного показателя количество населенных пунктов, в которых применялись определенные социальные льготы. При этом рассматриваемые населенные пункты различаются по площади, по количеству жителей и иным характеристикам.</w:t>
            </w:r>
          </w:p>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Количество населенных пунктов в приведенном примере не является однородным показателем. В аналогичных условиях указанный подход к выбору контрольного показателя для расчета уровня существенности не рекомендуется к применению.</w:t>
            </w:r>
          </w:p>
        </w:tc>
      </w:tr>
    </w:tbl>
    <w:p w:rsidR="00990696" w:rsidRDefault="00990696">
      <w:pPr>
        <w:pBdr>
          <w:top w:val="nil"/>
          <w:left w:val="nil"/>
          <w:bottom w:val="nil"/>
          <w:right w:val="nil"/>
          <w:between w:val="nil"/>
        </w:pBdr>
        <w:tabs>
          <w:tab w:val="left" w:pos="851"/>
        </w:tabs>
        <w:spacing w:after="0" w:line="360" w:lineRule="auto"/>
        <w:ind w:firstLine="708"/>
        <w:jc w:val="both"/>
        <w:rPr>
          <w:rFonts w:ascii="Times New Roman" w:eastAsia="Times New Roman" w:hAnsi="Times New Roman" w:cs="Times New Roman"/>
          <w:i/>
          <w:sz w:val="28"/>
          <w:szCs w:val="28"/>
        </w:rPr>
      </w:pPr>
    </w:p>
    <w:p w:rsidR="00990696" w:rsidRDefault="00990696">
      <w:pPr>
        <w:pBdr>
          <w:top w:val="nil"/>
          <w:left w:val="nil"/>
          <w:bottom w:val="nil"/>
          <w:right w:val="nil"/>
          <w:between w:val="nil"/>
        </w:pBdr>
        <w:tabs>
          <w:tab w:val="left" w:pos="851"/>
        </w:tabs>
        <w:spacing w:after="0" w:line="360" w:lineRule="auto"/>
        <w:ind w:firstLine="708"/>
        <w:jc w:val="both"/>
        <w:rPr>
          <w:rFonts w:ascii="Times New Roman" w:eastAsia="Times New Roman" w:hAnsi="Times New Roman" w:cs="Times New Roman"/>
          <w:i/>
          <w:sz w:val="28"/>
          <w:szCs w:val="28"/>
        </w:rPr>
      </w:pPr>
    </w:p>
    <w:p w:rsidR="00990696" w:rsidRDefault="003C585F" w:rsidP="00BB254C">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 Определение порогового значения для расчета уровня существенности </w:t>
      </w:r>
      <w:r w:rsidR="00BB254C">
        <w:rPr>
          <w:rFonts w:ascii="Times New Roman" w:eastAsia="Times New Roman" w:hAnsi="Times New Roman" w:cs="Times New Roman"/>
          <w:b/>
          <w:sz w:val="28"/>
          <w:szCs w:val="28"/>
        </w:rPr>
        <w:br/>
      </w:r>
      <w:r>
        <w:rPr>
          <w:rFonts w:ascii="Times New Roman" w:eastAsia="Times New Roman" w:hAnsi="Times New Roman" w:cs="Times New Roman"/>
          <w:b/>
          <w:sz w:val="28"/>
          <w:szCs w:val="28"/>
        </w:rPr>
        <w:t>в мероприятии с применением аудита соответствия</w:t>
      </w:r>
    </w:p>
    <w:p w:rsidR="00990696" w:rsidRDefault="00990696" w:rsidP="003C18C7">
      <w:p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b/>
          <w:sz w:val="28"/>
          <w:szCs w:val="28"/>
        </w:rPr>
      </w:pP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Рекомендуемые </w:t>
      </w:r>
      <w:r>
        <w:rPr>
          <w:rFonts w:ascii="Times New Roman" w:eastAsia="Times New Roman" w:hAnsi="Times New Roman" w:cs="Times New Roman"/>
          <w:b/>
          <w:sz w:val="28"/>
          <w:szCs w:val="28"/>
        </w:rPr>
        <w:t>диапазоны пороговых значений</w:t>
      </w:r>
      <w:r>
        <w:rPr>
          <w:rFonts w:ascii="Times New Roman" w:eastAsia="Times New Roman" w:hAnsi="Times New Roman" w:cs="Times New Roman"/>
          <w:sz w:val="28"/>
          <w:szCs w:val="28"/>
        </w:rPr>
        <w:t xml:space="preserve"> в зависимости от уровня риска, присущего объекту аудита, представлены в таблице.</w:t>
      </w:r>
    </w:p>
    <w:p w:rsidR="003C18C7" w:rsidRDefault="003C18C7" w:rsidP="003C18C7">
      <w:pPr>
        <w:tabs>
          <w:tab w:val="left" w:pos="851"/>
        </w:tabs>
        <w:spacing w:after="0" w:line="360" w:lineRule="auto"/>
        <w:ind w:firstLine="709"/>
        <w:jc w:val="both"/>
        <w:rPr>
          <w:rFonts w:ascii="Times New Roman" w:eastAsia="Times New Roman" w:hAnsi="Times New Roman" w:cs="Times New Roman"/>
          <w:sz w:val="28"/>
          <w:szCs w:val="28"/>
        </w:rPr>
      </w:pPr>
    </w:p>
    <w:p w:rsidR="00990696" w:rsidRPr="003C18C7" w:rsidRDefault="003C585F" w:rsidP="00BB254C">
      <w:pPr>
        <w:keepNext/>
        <w:keepLines/>
        <w:tabs>
          <w:tab w:val="left" w:pos="851"/>
        </w:tabs>
        <w:spacing w:after="120" w:line="240" w:lineRule="auto"/>
        <w:jc w:val="both"/>
        <w:rPr>
          <w:rFonts w:ascii="Times New Roman" w:eastAsia="Times New Roman" w:hAnsi="Times New Roman" w:cs="Times New Roman"/>
          <w:sz w:val="24"/>
          <w:szCs w:val="24"/>
        </w:rPr>
      </w:pPr>
      <w:r w:rsidRPr="003C18C7">
        <w:rPr>
          <w:rFonts w:ascii="Times New Roman" w:eastAsia="Times New Roman" w:hAnsi="Times New Roman" w:cs="Times New Roman"/>
          <w:sz w:val="24"/>
          <w:szCs w:val="24"/>
        </w:rPr>
        <w:lastRenderedPageBreak/>
        <w:t>Таблица. Рекомендуемые диапазоны пороговых значений для расчета уровня существенности в мероприятии с применением аудита соответствия</w:t>
      </w:r>
    </w:p>
    <w:tbl>
      <w:tblPr>
        <w:tblStyle w:val="aff7"/>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556"/>
        <w:gridCol w:w="2195"/>
        <w:gridCol w:w="2379"/>
        <w:gridCol w:w="2487"/>
      </w:tblGrid>
      <w:tr w:rsidR="00990696" w:rsidTr="003C18C7">
        <w:tc>
          <w:tcPr>
            <w:tcW w:w="1329" w:type="pct"/>
            <w:shd w:val="clear" w:color="auto" w:fill="auto"/>
            <w:tcMar>
              <w:top w:w="100" w:type="dxa"/>
              <w:left w:w="100" w:type="dxa"/>
              <w:bottom w:w="100" w:type="dxa"/>
              <w:right w:w="100" w:type="dxa"/>
            </w:tcMar>
          </w:tcPr>
          <w:p w:rsidR="00990696" w:rsidRDefault="00990696" w:rsidP="00BB254C">
            <w:pPr>
              <w:keepNext/>
              <w:keepLines/>
              <w:spacing w:after="0" w:line="240" w:lineRule="auto"/>
              <w:rPr>
                <w:rFonts w:ascii="Times New Roman" w:eastAsia="Times New Roman" w:hAnsi="Times New Roman" w:cs="Times New Roman"/>
                <w:sz w:val="24"/>
                <w:szCs w:val="24"/>
              </w:rPr>
            </w:pPr>
          </w:p>
        </w:tc>
        <w:tc>
          <w:tcPr>
            <w:tcW w:w="1141" w:type="pct"/>
            <w:shd w:val="clear" w:color="auto" w:fill="auto"/>
            <w:tcMar>
              <w:top w:w="100" w:type="dxa"/>
              <w:left w:w="100" w:type="dxa"/>
              <w:bottom w:w="100" w:type="dxa"/>
              <w:right w:w="100" w:type="dxa"/>
            </w:tcMar>
          </w:tcPr>
          <w:p w:rsidR="00990696" w:rsidRDefault="003C585F" w:rsidP="00BB254C">
            <w:pPr>
              <w:keepNext/>
              <w:keepLine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Высокий риск</w:t>
            </w:r>
            <w:r>
              <w:rPr>
                <w:rFonts w:ascii="Times New Roman" w:eastAsia="Times New Roman" w:hAnsi="Times New Roman" w:cs="Times New Roman"/>
                <w:sz w:val="24"/>
                <w:szCs w:val="24"/>
              </w:rPr>
              <w:t>, присущий объекту аудита</w:t>
            </w:r>
          </w:p>
        </w:tc>
        <w:tc>
          <w:tcPr>
            <w:tcW w:w="1237" w:type="pct"/>
            <w:shd w:val="clear" w:color="auto" w:fill="auto"/>
            <w:tcMar>
              <w:top w:w="100" w:type="dxa"/>
              <w:left w:w="100" w:type="dxa"/>
              <w:bottom w:w="100" w:type="dxa"/>
              <w:right w:w="100" w:type="dxa"/>
            </w:tcMar>
          </w:tcPr>
          <w:p w:rsidR="00990696" w:rsidRDefault="003C585F" w:rsidP="00BB254C">
            <w:pPr>
              <w:keepNext/>
              <w:keepLine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Средний риск</w:t>
            </w:r>
            <w:r>
              <w:rPr>
                <w:rFonts w:ascii="Times New Roman" w:eastAsia="Times New Roman" w:hAnsi="Times New Roman" w:cs="Times New Roman"/>
                <w:sz w:val="24"/>
                <w:szCs w:val="24"/>
              </w:rPr>
              <w:t>, присущий объекту аудита</w:t>
            </w:r>
          </w:p>
        </w:tc>
        <w:tc>
          <w:tcPr>
            <w:tcW w:w="1293" w:type="pct"/>
            <w:shd w:val="clear" w:color="auto" w:fill="auto"/>
            <w:tcMar>
              <w:top w:w="100" w:type="dxa"/>
              <w:left w:w="100" w:type="dxa"/>
              <w:bottom w:w="100" w:type="dxa"/>
              <w:right w:w="100" w:type="dxa"/>
            </w:tcMar>
          </w:tcPr>
          <w:p w:rsidR="00990696" w:rsidRDefault="003C585F" w:rsidP="00BB254C">
            <w:pPr>
              <w:keepNext/>
              <w:keepLine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Низкий риск</w:t>
            </w:r>
            <w:r>
              <w:rPr>
                <w:rFonts w:ascii="Times New Roman" w:eastAsia="Times New Roman" w:hAnsi="Times New Roman" w:cs="Times New Roman"/>
                <w:sz w:val="24"/>
                <w:szCs w:val="24"/>
              </w:rPr>
              <w:t>, присущий объекту аудита</w:t>
            </w:r>
          </w:p>
        </w:tc>
      </w:tr>
      <w:tr w:rsidR="00990696" w:rsidTr="003C18C7">
        <w:tc>
          <w:tcPr>
            <w:tcW w:w="1329" w:type="pct"/>
            <w:shd w:val="clear" w:color="auto" w:fill="auto"/>
            <w:tcMar>
              <w:top w:w="100" w:type="dxa"/>
              <w:left w:w="100" w:type="dxa"/>
              <w:bottom w:w="100" w:type="dxa"/>
              <w:right w:w="100" w:type="dxa"/>
            </w:tcMar>
          </w:tcPr>
          <w:p w:rsidR="00990696" w:rsidRDefault="003C585F" w:rsidP="00BB254C">
            <w:pPr>
              <w:keepNext/>
              <w:keepLine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Пороговое значение</w:t>
            </w:r>
          </w:p>
        </w:tc>
        <w:tc>
          <w:tcPr>
            <w:tcW w:w="1141" w:type="pct"/>
            <w:shd w:val="clear" w:color="auto" w:fill="auto"/>
            <w:tcMar>
              <w:top w:w="100" w:type="dxa"/>
              <w:left w:w="100" w:type="dxa"/>
              <w:bottom w:w="100" w:type="dxa"/>
              <w:right w:w="100" w:type="dxa"/>
            </w:tcMar>
          </w:tcPr>
          <w:p w:rsidR="00990696" w:rsidRDefault="003C585F" w:rsidP="00BB254C">
            <w:pPr>
              <w:keepNext/>
              <w:keepLine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0,5 % – 0,99 %</w:t>
            </w:r>
          </w:p>
        </w:tc>
        <w:tc>
          <w:tcPr>
            <w:tcW w:w="1237" w:type="pct"/>
            <w:shd w:val="clear" w:color="auto" w:fill="auto"/>
            <w:tcMar>
              <w:top w:w="100" w:type="dxa"/>
              <w:left w:w="100" w:type="dxa"/>
              <w:bottom w:w="100" w:type="dxa"/>
              <w:right w:w="100" w:type="dxa"/>
            </w:tcMar>
          </w:tcPr>
          <w:p w:rsidR="00990696" w:rsidRDefault="003C585F" w:rsidP="00BB254C">
            <w:pPr>
              <w:keepNext/>
              <w:keepLine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 – 1,99 %</w:t>
            </w:r>
          </w:p>
        </w:tc>
        <w:tc>
          <w:tcPr>
            <w:tcW w:w="1293" w:type="pct"/>
            <w:shd w:val="clear" w:color="auto" w:fill="auto"/>
            <w:tcMar>
              <w:top w:w="100" w:type="dxa"/>
              <w:left w:w="100" w:type="dxa"/>
              <w:bottom w:w="100" w:type="dxa"/>
              <w:right w:w="100" w:type="dxa"/>
            </w:tcMar>
          </w:tcPr>
          <w:p w:rsidR="00990696" w:rsidRDefault="003C585F" w:rsidP="00BB254C">
            <w:pPr>
              <w:keepNext/>
              <w:keepLine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 – 3 %</w:t>
            </w:r>
          </w:p>
        </w:tc>
      </w:tr>
    </w:tbl>
    <w:p w:rsidR="00990696" w:rsidRDefault="003C585F" w:rsidP="003C18C7">
      <w:pPr>
        <w:tabs>
          <w:tab w:val="left" w:pos="851"/>
        </w:tabs>
        <w:spacing w:before="200"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Факторами, влияющими на </w:t>
      </w:r>
      <w:r>
        <w:rPr>
          <w:rFonts w:ascii="Times New Roman" w:eastAsia="Times New Roman" w:hAnsi="Times New Roman" w:cs="Times New Roman"/>
          <w:b/>
          <w:sz w:val="28"/>
          <w:szCs w:val="28"/>
        </w:rPr>
        <w:t>уровень риска, присущего объекту аудита</w:t>
      </w:r>
      <w:r>
        <w:rPr>
          <w:rFonts w:ascii="Times New Roman" w:eastAsia="Times New Roman" w:hAnsi="Times New Roman" w:cs="Times New Roman"/>
          <w:sz w:val="28"/>
          <w:szCs w:val="28"/>
        </w:rPr>
        <w:t>, являются:</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масштаб объекта аудита (по величине доходов, расходов, активов, обязательств, полномочий объекта аудита как участника бюджетного процесса и т. п.);</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объем использования федеральных и иных ресурсов;</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наличие значимых нарушений и недостатков средств внутреннего контроля, выявленных в ходе проведения предыдущих мероприятий;</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наличие значимых нарушений и недостатков в деятельности объекта аудита, выявленных контрольными (надзорными) органами;</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проблемы в сфере деятельности объекта аудита;</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роль и полномочия объекта аудита в реализации государственных программ и национальных проектов (исполнитель, соисполнитель, участник);</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наличие негативной информации в средствах массовой информации в отношении деятельности объекта аудита или его руководства;</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прочие факторы, определенные на основании профессионального суждения участников мероприятия по согласованию с членом Коллегии Счетной палаты, ответственным за проведение мероприятия.</w:t>
      </w:r>
    </w:p>
    <w:p w:rsidR="00990696" w:rsidRDefault="003C585F" w:rsidP="003C18C7">
      <w:pPr>
        <w:tabs>
          <w:tab w:val="left" w:pos="851"/>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Данные факторы для определения уровня существенности рекомендуется рассматривать в совокупности.</w:t>
      </w:r>
    </w:p>
    <w:p w:rsidR="00990696" w:rsidRDefault="003C585F" w:rsidP="003C18C7">
      <w:pPr>
        <w:tabs>
          <w:tab w:val="left" w:pos="851"/>
        </w:tabs>
        <w:spacing w:after="20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3.3. Величина порогового значения для расчета уровня существенности отражает оценку уровня риска, присущего объекту аудита: чем </w:t>
      </w:r>
      <w:r>
        <w:rPr>
          <w:rFonts w:ascii="Times New Roman" w:eastAsia="Times New Roman" w:hAnsi="Times New Roman" w:cs="Times New Roman"/>
          <w:b/>
          <w:sz w:val="28"/>
          <w:szCs w:val="28"/>
        </w:rPr>
        <w:t>выше</w:t>
      </w:r>
      <w:r>
        <w:rPr>
          <w:rFonts w:ascii="Times New Roman" w:eastAsia="Times New Roman" w:hAnsi="Times New Roman" w:cs="Times New Roman"/>
          <w:sz w:val="28"/>
          <w:szCs w:val="28"/>
        </w:rPr>
        <w:t xml:space="preserve"> уровень риска, присущего объекту аудита, тем </w:t>
      </w:r>
      <w:r>
        <w:rPr>
          <w:rFonts w:ascii="Times New Roman" w:eastAsia="Times New Roman" w:hAnsi="Times New Roman" w:cs="Times New Roman"/>
          <w:b/>
          <w:sz w:val="28"/>
          <w:szCs w:val="28"/>
        </w:rPr>
        <w:t>ниже</w:t>
      </w:r>
      <w:r>
        <w:rPr>
          <w:rFonts w:ascii="Times New Roman" w:eastAsia="Times New Roman" w:hAnsi="Times New Roman" w:cs="Times New Roman"/>
          <w:sz w:val="28"/>
          <w:szCs w:val="28"/>
        </w:rPr>
        <w:t xml:space="preserve"> пороговое значение, используемое при расчете уровня существенности.</w:t>
      </w:r>
    </w:p>
    <w:tbl>
      <w:tblPr>
        <w:tblStyle w:val="aff8"/>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617"/>
      </w:tblGrid>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ПРИМЕР </w:t>
            </w:r>
            <w:r>
              <w:rPr>
                <w:rFonts w:ascii="Times New Roman" w:eastAsia="Times New Roman" w:hAnsi="Times New Roman" w:cs="Times New Roman"/>
                <w:sz w:val="24"/>
                <w:szCs w:val="24"/>
              </w:rPr>
              <w:t>(РЕКОМЕНДУЕМАЯ ПРАКТИКА)</w:t>
            </w:r>
          </w:p>
        </w:tc>
      </w:tr>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Определение уровня существенности в зависимости от уровня риска, присущего объектам аудита</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показатель определен со значением 1 000 млн руб. В зависимости от оценки рисков уровень существенности может принимать следующие значения:</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Высокий риск: 1 000 млн руб. * 0,5 % = 5 млн руб.</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риск: 1 000 млн руб. * 1 % = 10 млн руб.</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Низкий риск: 1 000 млн руб. * 2 % = 20 млн руб.</w:t>
            </w:r>
          </w:p>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Приведенный пример показывает, что чем выше уровень риска, тем меньше размер несоответствия, который участники мероприятия должны считать существенным. </w:t>
            </w:r>
          </w:p>
        </w:tc>
      </w:tr>
    </w:tbl>
    <w:p w:rsidR="00990696" w:rsidRDefault="003C585F" w:rsidP="00215085">
      <w:pPr>
        <w:tabs>
          <w:tab w:val="left" w:pos="851"/>
        </w:tabs>
        <w:spacing w:before="200" w:after="200" w:line="360" w:lineRule="auto"/>
        <w:ind w:firstLine="709"/>
        <w:jc w:val="both"/>
        <w:rPr>
          <w:rFonts w:ascii="Times New Roman" w:eastAsia="Times New Roman" w:hAnsi="Times New Roman" w:cs="Times New Roman"/>
          <w:sz w:val="28"/>
          <w:szCs w:val="28"/>
        </w:rPr>
      </w:pPr>
      <w:bookmarkStart w:id="1" w:name="_heading=h.hdmbthutbdsy" w:colFirst="0" w:colLast="0"/>
      <w:bookmarkEnd w:id="1"/>
      <w:r>
        <w:rPr>
          <w:rFonts w:ascii="Times New Roman" w:eastAsia="Times New Roman" w:hAnsi="Times New Roman" w:cs="Times New Roman"/>
          <w:sz w:val="28"/>
          <w:szCs w:val="28"/>
        </w:rPr>
        <w:t>3.4. Участники мероприятия по профессиональному суждению по согласованию с членом Коллегии Счетной палаты, ответственным за проведение мероприятия, могут принять решение выбрать пороговое значение, выходящее за рекомендуемые диапазоны, указанные в пункте 3.1 настоящего приложения. При этом рекомендуется обосновывать в рабочей документации мероприятия такое решение.</w:t>
      </w:r>
    </w:p>
    <w:tbl>
      <w:tblPr>
        <w:tblStyle w:val="aff9"/>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617"/>
      </w:tblGrid>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ПРИМЕР </w:t>
            </w:r>
            <w:r>
              <w:rPr>
                <w:rFonts w:ascii="Times New Roman" w:eastAsia="Times New Roman" w:hAnsi="Times New Roman" w:cs="Times New Roman"/>
                <w:sz w:val="24"/>
                <w:szCs w:val="24"/>
              </w:rPr>
              <w:t>(НЕРЕКОМЕНДУЕМАЯ ПРАКТИКА)</w:t>
            </w:r>
          </w:p>
        </w:tc>
      </w:tr>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Выбор порогового значения, выходящего за рекомендуемые диапазоны</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Участниками мероприятия принято решение не применять рекомендуемые диапазоны пороговых значений и считать существенными любые суммы в рамках предмета аудита соответствия. При этом участниками мероприятия определено пороговое значение на уровне 100 %, с учетом которого рассчитан уровень существенности:</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1 000 млн руб. (контрольный показатель) * 100 % = 1 000 млн руб.</w:t>
            </w:r>
          </w:p>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В приведенном примере существенными будут считаться несоответствия от 1 000 млн руб., что противоречит подходу, который предполагали участники мероприятия.</w:t>
            </w:r>
          </w:p>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В данном случае корректно было бы определить пороговое значение на уровне 0 %, тогда любое несоответствие могло бы считаться существенным.</w:t>
            </w:r>
          </w:p>
        </w:tc>
      </w:tr>
    </w:tbl>
    <w:p w:rsidR="00990696" w:rsidRDefault="00990696">
      <w:pPr>
        <w:pBdr>
          <w:top w:val="nil"/>
          <w:left w:val="nil"/>
          <w:bottom w:val="nil"/>
          <w:right w:val="nil"/>
          <w:between w:val="nil"/>
        </w:pBdr>
        <w:tabs>
          <w:tab w:val="left" w:pos="851"/>
        </w:tabs>
        <w:spacing w:after="0" w:line="360" w:lineRule="auto"/>
        <w:ind w:firstLine="708"/>
        <w:jc w:val="both"/>
        <w:rPr>
          <w:rFonts w:ascii="Times New Roman" w:eastAsia="Times New Roman" w:hAnsi="Times New Roman" w:cs="Times New Roman"/>
          <w:sz w:val="28"/>
          <w:szCs w:val="28"/>
        </w:rPr>
      </w:pPr>
    </w:p>
    <w:p w:rsidR="00990696" w:rsidRDefault="003C585F" w:rsidP="00BB254C">
      <w:pPr>
        <w:pBdr>
          <w:top w:val="nil"/>
          <w:left w:val="nil"/>
          <w:bottom w:val="nil"/>
          <w:right w:val="nil"/>
          <w:between w:val="nil"/>
        </w:pBdr>
        <w:tabs>
          <w:tab w:val="left" w:pos="851"/>
        </w:tabs>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4. Примеры определения существенности</w:t>
      </w:r>
    </w:p>
    <w:p w:rsidR="00990696" w:rsidRDefault="003C585F" w:rsidP="003C18C7">
      <w:pPr>
        <w:pBdr>
          <w:top w:val="nil"/>
          <w:left w:val="nil"/>
          <w:bottom w:val="nil"/>
          <w:right w:val="nil"/>
          <w:between w:val="nil"/>
        </w:pBdr>
        <w:tabs>
          <w:tab w:val="left" w:pos="851"/>
        </w:tabs>
        <w:spacing w:after="20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Ниже приведены исходные данные для примеров определения существенности в мероприятии с применением аудита соответствия для каждого из подходов, указанных в пункте 1.2 настоящего приложения. </w:t>
      </w:r>
    </w:p>
    <w:p w:rsidR="003C18C7" w:rsidRDefault="003C18C7" w:rsidP="003C18C7">
      <w:pPr>
        <w:pBdr>
          <w:top w:val="nil"/>
          <w:left w:val="nil"/>
          <w:bottom w:val="nil"/>
          <w:right w:val="nil"/>
          <w:between w:val="nil"/>
        </w:pBdr>
        <w:tabs>
          <w:tab w:val="left" w:pos="851"/>
        </w:tabs>
        <w:spacing w:after="200" w:line="360" w:lineRule="auto"/>
        <w:ind w:firstLine="709"/>
        <w:jc w:val="both"/>
        <w:rPr>
          <w:rFonts w:ascii="Times New Roman" w:eastAsia="Times New Roman" w:hAnsi="Times New Roman" w:cs="Times New Roman"/>
          <w:sz w:val="28"/>
          <w:szCs w:val="28"/>
        </w:rPr>
      </w:pPr>
    </w:p>
    <w:p w:rsidR="003C18C7" w:rsidRDefault="003C18C7" w:rsidP="003C18C7">
      <w:pPr>
        <w:pBdr>
          <w:top w:val="nil"/>
          <w:left w:val="nil"/>
          <w:bottom w:val="nil"/>
          <w:right w:val="nil"/>
          <w:between w:val="nil"/>
        </w:pBdr>
        <w:tabs>
          <w:tab w:val="left" w:pos="851"/>
        </w:tabs>
        <w:spacing w:after="200" w:line="360" w:lineRule="auto"/>
        <w:ind w:firstLine="709"/>
        <w:jc w:val="both"/>
        <w:rPr>
          <w:rFonts w:ascii="Times New Roman" w:eastAsia="Times New Roman" w:hAnsi="Times New Roman" w:cs="Times New Roman"/>
          <w:sz w:val="28"/>
          <w:szCs w:val="28"/>
        </w:rPr>
      </w:pPr>
    </w:p>
    <w:tbl>
      <w:tblPr>
        <w:tblStyle w:val="affa"/>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617"/>
      </w:tblGrid>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ПРИМЕР </w:t>
            </w:r>
            <w:r>
              <w:rPr>
                <w:rFonts w:ascii="Times New Roman" w:eastAsia="Times New Roman" w:hAnsi="Times New Roman" w:cs="Times New Roman"/>
                <w:sz w:val="24"/>
                <w:szCs w:val="24"/>
              </w:rPr>
              <w:t>(РЕКОМЕНДУЕМАЯ ПРАКТИКА)</w:t>
            </w:r>
          </w:p>
        </w:tc>
      </w:tr>
      <w:tr w:rsidR="00990696" w:rsidTr="003C18C7">
        <w:tc>
          <w:tcPr>
            <w:tcW w:w="5000" w:type="pct"/>
            <w:shd w:val="clear" w:color="auto" w:fill="auto"/>
            <w:tcMar>
              <w:top w:w="100" w:type="dxa"/>
              <w:left w:w="100" w:type="dxa"/>
              <w:bottom w:w="100" w:type="dxa"/>
              <w:right w:w="100" w:type="dxa"/>
            </w:tcMar>
          </w:tcPr>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Исходные данные по мероприятию, необходимые для определения существенности</w:t>
            </w:r>
          </w:p>
          <w:p w:rsidR="00990696" w:rsidRDefault="00990696">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i/>
                <w:sz w:val="24"/>
                <w:szCs w:val="24"/>
              </w:rPr>
            </w:pP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 Объекты мероприятия с применением аудита соответствия</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1. Министерство природных ресурсов и экологии Российской Федерации (Минприроды России).</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2. Федеральное агентство лесного хозяйства (Рослесхоз).</w:t>
            </w:r>
          </w:p>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3. Федеральное бюджетное учреждение «Центральная база авиационной охраны лесов «Авиалесоохрана» (подведомственная организация Рослесхоза).</w:t>
            </w:r>
          </w:p>
          <w:p w:rsidR="00990696" w:rsidRDefault="00990696">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i/>
                <w:sz w:val="24"/>
                <w:szCs w:val="24"/>
              </w:rPr>
            </w:pPr>
          </w:p>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 Цели мероприятия с применением аудита соответствия</w:t>
            </w:r>
            <w:r>
              <w:rPr>
                <w:rFonts w:ascii="Times New Roman" w:eastAsia="Times New Roman" w:hAnsi="Times New Roman" w:cs="Times New Roman"/>
                <w:sz w:val="24"/>
                <w:szCs w:val="24"/>
              </w:rPr>
              <w:t xml:space="preserve"> </w:t>
            </w:r>
          </w:p>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1. Оценить соответствие деятельности Минприроды России и Рослесхоза по организации использования лесных ресурсов нормативным правовым актам в области лесного хозяйства (аудит соответствия).</w:t>
            </w:r>
          </w:p>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2. Оценить соответствие деятельности Рослесхоза и его подведомственной организации по организации восстановления лесных ресурсов нормативным правовым актам в области лесного хозяйства (аудит соответствия).</w:t>
            </w:r>
          </w:p>
          <w:p w:rsidR="00990696" w:rsidRDefault="00990696">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i/>
                <w:sz w:val="24"/>
                <w:szCs w:val="24"/>
              </w:rPr>
            </w:pPr>
          </w:p>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Контрольный показатель для определения существенности</w:t>
            </w:r>
          </w:p>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Бюджетные ассигнования, предусмотренные объектам мероприятия: </w:t>
            </w:r>
          </w:p>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Объект 1 – 300 млн руб.; </w:t>
            </w:r>
          </w:p>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Объект 2 – 500 млн руб.; </w:t>
            </w:r>
          </w:p>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3 – 200 млн руб.;</w:t>
            </w:r>
          </w:p>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 – 1 млрд руб.</w:t>
            </w:r>
          </w:p>
          <w:p w:rsidR="00990696" w:rsidRDefault="00990696">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i/>
                <w:sz w:val="24"/>
                <w:szCs w:val="24"/>
              </w:rPr>
            </w:pPr>
          </w:p>
          <w:p w:rsidR="00990696" w:rsidRDefault="003C585F">
            <w:pPr>
              <w:pBdr>
                <w:top w:val="nil"/>
                <w:left w:val="nil"/>
                <w:bottom w:val="nil"/>
                <w:right w:val="nil"/>
                <w:between w:val="nil"/>
              </w:pBdr>
              <w:tabs>
                <w:tab w:val="left" w:pos="851"/>
              </w:tabs>
              <w:spacing w:after="0" w:line="240" w:lineRule="auto"/>
              <w:ind w:left="141"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Уровни риска и пороговые значения для определения существенности</w:t>
            </w:r>
          </w:p>
          <w:tbl>
            <w:tblPr>
              <w:tblStyle w:val="affb"/>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42"/>
              <w:gridCol w:w="1188"/>
              <w:gridCol w:w="2114"/>
              <w:gridCol w:w="2114"/>
              <w:gridCol w:w="3039"/>
            </w:tblGrid>
            <w:tr w:rsidR="00990696" w:rsidTr="003C18C7">
              <w:trPr>
                <w:trHeight w:val="1514"/>
              </w:trPr>
              <w:tc>
                <w:tcPr>
                  <w:tcW w:w="1133" w:type="pct"/>
                  <w:gridSpan w:val="2"/>
                  <w:shd w:val="clear" w:color="auto" w:fill="auto"/>
                  <w:tcMar>
                    <w:top w:w="100" w:type="dxa"/>
                    <w:left w:w="100" w:type="dxa"/>
                    <w:bottom w:w="100" w:type="dxa"/>
                    <w:right w:w="100" w:type="dxa"/>
                  </w:tcMar>
                </w:tcPr>
                <w:p w:rsidR="00990696" w:rsidRDefault="00990696">
                  <w:pPr>
                    <w:widowControl w:val="0"/>
                    <w:spacing w:after="0" w:line="240" w:lineRule="auto"/>
                    <w:rPr>
                      <w:rFonts w:ascii="Times New Roman" w:eastAsia="Times New Roman" w:hAnsi="Times New Roman" w:cs="Times New Roman"/>
                      <w:sz w:val="24"/>
                      <w:szCs w:val="24"/>
                    </w:rPr>
                  </w:pPr>
                </w:p>
              </w:tc>
              <w:tc>
                <w:tcPr>
                  <w:tcW w:w="1125" w:type="pct"/>
                  <w:shd w:val="clear" w:color="auto" w:fill="auto"/>
                  <w:tcMar>
                    <w:top w:w="100" w:type="dxa"/>
                    <w:left w:w="100" w:type="dxa"/>
                    <w:bottom w:w="100" w:type="dxa"/>
                    <w:right w:w="100" w:type="dxa"/>
                  </w:tcMar>
                </w:tcPr>
                <w:p w:rsidR="00990696" w:rsidRDefault="003C585F">
                  <w:pPr>
                    <w:widowControl w:val="0"/>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sz w:val="24"/>
                      <w:szCs w:val="24"/>
                    </w:rPr>
                    <w:t>Подход 1</w:t>
                  </w:r>
                  <w:r>
                    <w:rPr>
                      <w:rFonts w:ascii="Times New Roman" w:eastAsia="Times New Roman" w:hAnsi="Times New Roman" w:cs="Times New Roman"/>
                      <w:sz w:val="24"/>
                      <w:szCs w:val="24"/>
                    </w:rPr>
                    <w:br/>
                  </w:r>
                  <w:r>
                    <w:rPr>
                      <w:rFonts w:ascii="Times New Roman" w:eastAsia="Times New Roman" w:hAnsi="Times New Roman" w:cs="Times New Roman"/>
                      <w:i/>
                      <w:sz w:val="24"/>
                      <w:szCs w:val="24"/>
                    </w:rPr>
                    <w:t>(единая существенность)</w:t>
                  </w:r>
                </w:p>
              </w:tc>
              <w:tc>
                <w:tcPr>
                  <w:tcW w:w="1125" w:type="pct"/>
                  <w:shd w:val="clear" w:color="auto" w:fill="auto"/>
                  <w:tcMar>
                    <w:top w:w="100" w:type="dxa"/>
                    <w:left w:w="100" w:type="dxa"/>
                    <w:bottom w:w="100" w:type="dxa"/>
                    <w:right w:w="100" w:type="dxa"/>
                  </w:tcMar>
                </w:tcPr>
                <w:p w:rsidR="00990696" w:rsidRDefault="003C585F">
                  <w:pPr>
                    <w:widowControl w:val="0"/>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sz w:val="24"/>
                      <w:szCs w:val="24"/>
                    </w:rPr>
                    <w:t>Подход 2</w:t>
                  </w:r>
                  <w:r>
                    <w:rPr>
                      <w:rFonts w:ascii="Times New Roman" w:eastAsia="Times New Roman" w:hAnsi="Times New Roman" w:cs="Times New Roman"/>
                      <w:sz w:val="24"/>
                      <w:szCs w:val="24"/>
                    </w:rPr>
                    <w:br/>
                  </w:r>
                  <w:r>
                    <w:rPr>
                      <w:rFonts w:ascii="Times New Roman" w:eastAsia="Times New Roman" w:hAnsi="Times New Roman" w:cs="Times New Roman"/>
                      <w:i/>
                      <w:sz w:val="24"/>
                      <w:szCs w:val="24"/>
                    </w:rPr>
                    <w:t>(существенность по каждой цели)</w:t>
                  </w:r>
                </w:p>
              </w:tc>
              <w:tc>
                <w:tcPr>
                  <w:tcW w:w="1617" w:type="pct"/>
                  <w:shd w:val="clear" w:color="auto" w:fill="auto"/>
                  <w:tcMar>
                    <w:top w:w="100" w:type="dxa"/>
                    <w:left w:w="100" w:type="dxa"/>
                    <w:bottom w:w="100" w:type="dxa"/>
                    <w:right w:w="100" w:type="dxa"/>
                  </w:tcMar>
                </w:tcPr>
                <w:p w:rsidR="00990696" w:rsidRDefault="003C585F">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Подход 3</w:t>
                  </w:r>
                </w:p>
                <w:p w:rsidR="00990696" w:rsidRDefault="003C585F">
                  <w:pPr>
                    <w:widowControl w:val="0"/>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(существенность по каждой цели в разрезе аспектов и (или) объектов аудита)</w:t>
                  </w:r>
                </w:p>
              </w:tc>
            </w:tr>
            <w:tr w:rsidR="00990696" w:rsidTr="003C18C7">
              <w:trPr>
                <w:trHeight w:val="480"/>
              </w:trPr>
              <w:tc>
                <w:tcPr>
                  <w:tcW w:w="501" w:type="pct"/>
                  <w:vMerge w:val="restar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1</w:t>
                  </w:r>
                </w:p>
              </w:tc>
              <w:tc>
                <w:tcPr>
                  <w:tcW w:w="632" w:type="pc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1</w:t>
                  </w:r>
                </w:p>
              </w:tc>
              <w:tc>
                <w:tcPr>
                  <w:tcW w:w="1125" w:type="pct"/>
                  <w:vMerge w:val="restar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риска: средний</w:t>
                  </w:r>
                </w:p>
                <w:p w:rsidR="00990696" w:rsidRDefault="003C585F">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Пороговое значение: </w:t>
                  </w:r>
                  <w:r>
                    <w:rPr>
                      <w:rFonts w:ascii="Times New Roman" w:eastAsia="Times New Roman" w:hAnsi="Times New Roman" w:cs="Times New Roman"/>
                      <w:b/>
                      <w:sz w:val="24"/>
                      <w:szCs w:val="24"/>
                    </w:rPr>
                    <w:t>1%</w:t>
                  </w:r>
                </w:p>
              </w:tc>
              <w:tc>
                <w:tcPr>
                  <w:tcW w:w="1125" w:type="pct"/>
                  <w:vMerge w:val="restar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риска: средний</w:t>
                  </w:r>
                </w:p>
                <w:p w:rsidR="00990696" w:rsidRDefault="003C585F">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Пороговое значение: </w:t>
                  </w:r>
                  <w:r>
                    <w:rPr>
                      <w:rFonts w:ascii="Times New Roman" w:eastAsia="Times New Roman" w:hAnsi="Times New Roman" w:cs="Times New Roman"/>
                      <w:b/>
                      <w:sz w:val="24"/>
                      <w:szCs w:val="24"/>
                    </w:rPr>
                    <w:t>1%</w:t>
                  </w:r>
                </w:p>
              </w:tc>
              <w:tc>
                <w:tcPr>
                  <w:tcW w:w="1617" w:type="pc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риска: низкий</w:t>
                  </w:r>
                </w:p>
                <w:p w:rsidR="00990696" w:rsidRDefault="003C585F">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Пороговое значение: </w:t>
                  </w:r>
                  <w:r>
                    <w:rPr>
                      <w:rFonts w:ascii="Times New Roman" w:eastAsia="Times New Roman" w:hAnsi="Times New Roman" w:cs="Times New Roman"/>
                      <w:b/>
                      <w:sz w:val="24"/>
                      <w:szCs w:val="24"/>
                    </w:rPr>
                    <w:t>2%</w:t>
                  </w:r>
                </w:p>
              </w:tc>
            </w:tr>
            <w:tr w:rsidR="00990696" w:rsidTr="003C18C7">
              <w:trPr>
                <w:trHeight w:val="480"/>
              </w:trPr>
              <w:tc>
                <w:tcPr>
                  <w:tcW w:w="501" w:type="pct"/>
                  <w:vMerge/>
                  <w:shd w:val="clear" w:color="auto" w:fill="auto"/>
                  <w:tcMar>
                    <w:top w:w="100" w:type="dxa"/>
                    <w:left w:w="100" w:type="dxa"/>
                    <w:bottom w:w="100" w:type="dxa"/>
                    <w:right w:w="100" w:type="dxa"/>
                  </w:tcMar>
                  <w:vAlign w:val="cente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c>
                <w:tcPr>
                  <w:tcW w:w="632" w:type="pc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2</w:t>
                  </w:r>
                </w:p>
              </w:tc>
              <w:tc>
                <w:tcPr>
                  <w:tcW w:w="1125" w:type="pct"/>
                  <w:vMerge/>
                  <w:shd w:val="clear" w:color="auto" w:fill="auto"/>
                  <w:tcMar>
                    <w:top w:w="100" w:type="dxa"/>
                    <w:left w:w="100" w:type="dxa"/>
                    <w:bottom w:w="100" w:type="dxa"/>
                    <w:right w:w="100" w:type="dxa"/>
                  </w:tcMar>
                  <w:vAlign w:val="cente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125" w:type="pct"/>
                  <w:vMerge/>
                  <w:shd w:val="clear" w:color="auto" w:fill="auto"/>
                  <w:tcMar>
                    <w:top w:w="100" w:type="dxa"/>
                    <w:left w:w="100" w:type="dxa"/>
                    <w:bottom w:w="100" w:type="dxa"/>
                    <w:right w:w="100" w:type="dxa"/>
                  </w:tcMar>
                  <w:vAlign w:val="cente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617" w:type="pc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риска: средний</w:t>
                  </w:r>
                </w:p>
                <w:p w:rsidR="00990696" w:rsidRDefault="003C585F">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Пороговое значение: </w:t>
                  </w:r>
                  <w:r>
                    <w:rPr>
                      <w:rFonts w:ascii="Times New Roman" w:eastAsia="Times New Roman" w:hAnsi="Times New Roman" w:cs="Times New Roman"/>
                      <w:b/>
                      <w:sz w:val="24"/>
                      <w:szCs w:val="24"/>
                    </w:rPr>
                    <w:t>1%</w:t>
                  </w:r>
                </w:p>
              </w:tc>
            </w:tr>
            <w:tr w:rsidR="00990696" w:rsidTr="003C18C7">
              <w:trPr>
                <w:trHeight w:val="480"/>
              </w:trPr>
              <w:tc>
                <w:tcPr>
                  <w:tcW w:w="501" w:type="pct"/>
                  <w:vMerge w:val="restar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2</w:t>
                  </w:r>
                </w:p>
              </w:tc>
              <w:tc>
                <w:tcPr>
                  <w:tcW w:w="632" w:type="pc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2</w:t>
                  </w:r>
                </w:p>
              </w:tc>
              <w:tc>
                <w:tcPr>
                  <w:tcW w:w="1125" w:type="pct"/>
                  <w:vMerge/>
                  <w:shd w:val="clear" w:color="auto" w:fill="auto"/>
                  <w:tcMar>
                    <w:top w:w="100" w:type="dxa"/>
                    <w:left w:w="100" w:type="dxa"/>
                    <w:bottom w:w="100" w:type="dxa"/>
                    <w:right w:w="100" w:type="dxa"/>
                  </w:tcMar>
                  <w:vAlign w:val="cente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125" w:type="pct"/>
                  <w:vMerge w:val="restar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риска: высокий</w:t>
                  </w:r>
                </w:p>
                <w:p w:rsidR="00990696" w:rsidRDefault="003C585F">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Пороговое значение: </w:t>
                  </w:r>
                  <w:r>
                    <w:rPr>
                      <w:rFonts w:ascii="Times New Roman" w:eastAsia="Times New Roman" w:hAnsi="Times New Roman" w:cs="Times New Roman"/>
                      <w:b/>
                      <w:sz w:val="24"/>
                      <w:szCs w:val="24"/>
                    </w:rPr>
                    <w:t>0,5%</w:t>
                  </w:r>
                </w:p>
              </w:tc>
              <w:tc>
                <w:tcPr>
                  <w:tcW w:w="1617" w:type="pc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риска: средний</w:t>
                  </w:r>
                </w:p>
                <w:p w:rsidR="00990696" w:rsidRDefault="003C585F">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Пороговое значение: </w:t>
                  </w:r>
                  <w:r>
                    <w:rPr>
                      <w:rFonts w:ascii="Times New Roman" w:eastAsia="Times New Roman" w:hAnsi="Times New Roman" w:cs="Times New Roman"/>
                      <w:b/>
                      <w:sz w:val="24"/>
                      <w:szCs w:val="24"/>
                    </w:rPr>
                    <w:t>1%</w:t>
                  </w:r>
                </w:p>
              </w:tc>
            </w:tr>
            <w:tr w:rsidR="00990696" w:rsidTr="003C18C7">
              <w:trPr>
                <w:trHeight w:val="480"/>
              </w:trPr>
              <w:tc>
                <w:tcPr>
                  <w:tcW w:w="501" w:type="pct"/>
                  <w:vMerge/>
                  <w:shd w:val="clear" w:color="auto" w:fill="auto"/>
                  <w:tcMar>
                    <w:top w:w="100" w:type="dxa"/>
                    <w:left w:w="100" w:type="dxa"/>
                    <w:bottom w:w="100" w:type="dxa"/>
                    <w:right w:w="100" w:type="dxa"/>
                  </w:tcMar>
                  <w:vAlign w:val="cente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p>
              </w:tc>
              <w:tc>
                <w:tcPr>
                  <w:tcW w:w="632" w:type="pc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3</w:t>
                  </w:r>
                </w:p>
              </w:tc>
              <w:tc>
                <w:tcPr>
                  <w:tcW w:w="1125" w:type="pct"/>
                  <w:vMerge/>
                  <w:shd w:val="clear" w:color="auto" w:fill="auto"/>
                  <w:tcMar>
                    <w:top w:w="100" w:type="dxa"/>
                    <w:left w:w="100" w:type="dxa"/>
                    <w:bottom w:w="100" w:type="dxa"/>
                    <w:right w:w="100" w:type="dxa"/>
                  </w:tcMar>
                  <w:vAlign w:val="cente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125" w:type="pct"/>
                  <w:vMerge/>
                  <w:shd w:val="clear" w:color="auto" w:fill="auto"/>
                  <w:tcMar>
                    <w:top w:w="100" w:type="dxa"/>
                    <w:left w:w="100" w:type="dxa"/>
                    <w:bottom w:w="100" w:type="dxa"/>
                    <w:right w:w="100" w:type="dxa"/>
                  </w:tcMar>
                  <w:vAlign w:val="cente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617" w:type="pct"/>
                  <w:shd w:val="clear" w:color="auto" w:fill="auto"/>
                  <w:tcMar>
                    <w:top w:w="100" w:type="dxa"/>
                    <w:left w:w="100" w:type="dxa"/>
                    <w:bottom w:w="100" w:type="dxa"/>
                    <w:right w:w="100" w:type="dxa"/>
                  </w:tcMar>
                  <w:vAlign w:val="cente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риска: высокий</w:t>
                  </w:r>
                </w:p>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Пороговое значение: </w:t>
                  </w:r>
                  <w:r>
                    <w:rPr>
                      <w:rFonts w:ascii="Times New Roman" w:eastAsia="Times New Roman" w:hAnsi="Times New Roman" w:cs="Times New Roman"/>
                      <w:b/>
                      <w:sz w:val="24"/>
                      <w:szCs w:val="24"/>
                    </w:rPr>
                    <w:t>0,5%</w:t>
                  </w:r>
                </w:p>
              </w:tc>
            </w:tr>
          </w:tbl>
          <w:p w:rsidR="00990696" w:rsidRDefault="00990696">
            <w:pPr>
              <w:tabs>
                <w:tab w:val="left" w:pos="851"/>
              </w:tabs>
              <w:spacing w:after="0" w:line="240" w:lineRule="auto"/>
              <w:jc w:val="both"/>
              <w:rPr>
                <w:rFonts w:ascii="Times New Roman" w:eastAsia="Times New Roman" w:hAnsi="Times New Roman" w:cs="Times New Roman"/>
                <w:sz w:val="24"/>
                <w:szCs w:val="24"/>
              </w:rPr>
            </w:pPr>
          </w:p>
        </w:tc>
      </w:tr>
    </w:tbl>
    <w:p w:rsidR="00990696" w:rsidRDefault="003C585F" w:rsidP="003C18C7">
      <w:pPr>
        <w:pBdr>
          <w:top w:val="nil"/>
          <w:left w:val="nil"/>
          <w:bottom w:val="nil"/>
          <w:right w:val="nil"/>
          <w:between w:val="nil"/>
        </w:pBdr>
        <w:tabs>
          <w:tab w:val="left" w:pos="851"/>
        </w:tabs>
        <w:spacing w:before="200" w:after="20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Ниже приведены примеры определения существенности в мероприятии с применением аудита соответствия для каждого из подходов, указанных в пункте 1.2 настоящего приложения, на основе исходных данных, указанных в пункте 4.1 настоящего приложения.</w:t>
      </w:r>
    </w:p>
    <w:tbl>
      <w:tblPr>
        <w:tblStyle w:val="affc"/>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617"/>
      </w:tblGrid>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ПРИМЕР </w:t>
            </w:r>
            <w:r>
              <w:rPr>
                <w:rFonts w:ascii="Times New Roman" w:eastAsia="Times New Roman" w:hAnsi="Times New Roman" w:cs="Times New Roman"/>
                <w:sz w:val="24"/>
                <w:szCs w:val="24"/>
              </w:rPr>
              <w:t>(РЕКОМЕНДУЕМАЯ ПРАКТИКА)</w:t>
            </w:r>
          </w:p>
        </w:tc>
      </w:tr>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Существенность в зависимости от выбранного подх</w:t>
            </w:r>
            <w:r w:rsidR="003C18C7">
              <w:rPr>
                <w:rFonts w:ascii="Times New Roman" w:eastAsia="Times New Roman" w:hAnsi="Times New Roman" w:cs="Times New Roman"/>
                <w:i/>
                <w:sz w:val="24"/>
                <w:szCs w:val="24"/>
              </w:rPr>
              <w:t>ода (подход 1, подход 2, подход </w:t>
            </w:r>
            <w:r>
              <w:rPr>
                <w:rFonts w:ascii="Times New Roman" w:eastAsia="Times New Roman" w:hAnsi="Times New Roman" w:cs="Times New Roman"/>
                <w:i/>
                <w:sz w:val="24"/>
                <w:szCs w:val="24"/>
              </w:rPr>
              <w:t>3)</w:t>
            </w:r>
          </w:p>
          <w:p w:rsidR="00E53632" w:rsidRDefault="00E53632">
            <w:pPr>
              <w:tabs>
                <w:tab w:val="left" w:pos="851"/>
              </w:tabs>
              <w:spacing w:after="0" w:line="240" w:lineRule="auto"/>
              <w:ind w:left="141" w:firstLine="566"/>
              <w:jc w:val="both"/>
              <w:rPr>
                <w:rFonts w:ascii="Times New Roman" w:eastAsia="Times New Roman" w:hAnsi="Times New Roman" w:cs="Times New Roman"/>
                <w:i/>
                <w:sz w:val="24"/>
                <w:szCs w:val="24"/>
              </w:rPr>
            </w:pPr>
          </w:p>
          <w:p w:rsidR="00990696" w:rsidRDefault="003C585F">
            <w:pPr>
              <w:tabs>
                <w:tab w:val="left" w:pos="851"/>
              </w:tabs>
              <w:spacing w:after="0"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В таблице ниже представлено сравнение подходов к определению существенности для мероприятия с применением аудита соответствия (см. пункт 1.2 настоящего приложения).</w:t>
            </w:r>
          </w:p>
          <w:tbl>
            <w:tblPr>
              <w:tblStyle w:val="affd"/>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011"/>
              <w:gridCol w:w="1270"/>
              <w:gridCol w:w="2372"/>
              <w:gridCol w:w="2372"/>
              <w:gridCol w:w="2372"/>
            </w:tblGrid>
            <w:tr w:rsidR="00990696" w:rsidTr="003C18C7">
              <w:trPr>
                <w:trHeight w:val="480"/>
              </w:trPr>
              <w:tc>
                <w:tcPr>
                  <w:tcW w:w="1214" w:type="pct"/>
                  <w:gridSpan w:val="2"/>
                  <w:shd w:val="clear" w:color="auto" w:fill="auto"/>
                  <w:tcMar>
                    <w:top w:w="100" w:type="dxa"/>
                    <w:left w:w="100" w:type="dxa"/>
                    <w:bottom w:w="100" w:type="dxa"/>
                    <w:right w:w="100" w:type="dxa"/>
                  </w:tcMa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1262" w:type="pct"/>
                  <w:shd w:val="clear" w:color="auto" w:fill="auto"/>
                  <w:tcMar>
                    <w:top w:w="100" w:type="dxa"/>
                    <w:left w:w="100" w:type="dxa"/>
                    <w:bottom w:w="100" w:type="dxa"/>
                    <w:right w:w="100" w:type="dxa"/>
                  </w:tcMar>
                </w:tcPr>
                <w:p w:rsidR="00990696" w:rsidRDefault="003C585F">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Подход 1 </w:t>
                  </w:r>
                  <w:r>
                    <w:rPr>
                      <w:rFonts w:ascii="Times New Roman" w:eastAsia="Times New Roman" w:hAnsi="Times New Roman" w:cs="Times New Roman"/>
                      <w:sz w:val="24"/>
                      <w:szCs w:val="24"/>
                    </w:rPr>
                    <w:br/>
                    <w:t>(пункт 4.3 настоящего приложения )</w:t>
                  </w:r>
                </w:p>
              </w:tc>
              <w:tc>
                <w:tcPr>
                  <w:tcW w:w="1262" w:type="pct"/>
                  <w:shd w:val="clear" w:color="auto" w:fill="auto"/>
                  <w:tcMar>
                    <w:top w:w="100" w:type="dxa"/>
                    <w:left w:w="100" w:type="dxa"/>
                    <w:bottom w:w="100" w:type="dxa"/>
                    <w:right w:w="100" w:type="dxa"/>
                  </w:tcMar>
                </w:tcPr>
                <w:p w:rsidR="00990696" w:rsidRDefault="003C585F">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Подход 2</w:t>
                  </w:r>
                </w:p>
                <w:p w:rsidR="00990696" w:rsidRDefault="003C585F">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4.4 настоящего приложения)</w:t>
                  </w:r>
                </w:p>
              </w:tc>
              <w:tc>
                <w:tcPr>
                  <w:tcW w:w="1262" w:type="pct"/>
                  <w:shd w:val="clear" w:color="auto" w:fill="auto"/>
                  <w:tcMar>
                    <w:top w:w="100" w:type="dxa"/>
                    <w:left w:w="100" w:type="dxa"/>
                    <w:bottom w:w="100" w:type="dxa"/>
                    <w:right w:w="100" w:type="dxa"/>
                  </w:tcMar>
                </w:tcPr>
                <w:p w:rsidR="00990696" w:rsidRDefault="003C585F">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Подход 3</w:t>
                  </w:r>
                </w:p>
                <w:p w:rsidR="00990696" w:rsidRDefault="003C585F">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(пункт 4.5 настоящего приложения)</w:t>
                  </w:r>
                </w:p>
              </w:tc>
            </w:tr>
            <w:tr w:rsidR="00990696" w:rsidTr="003C18C7">
              <w:trPr>
                <w:trHeight w:val="480"/>
              </w:trPr>
              <w:tc>
                <w:tcPr>
                  <w:tcW w:w="538" w:type="pct"/>
                  <w:vMerge w:val="restar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1</w:t>
                  </w:r>
                </w:p>
              </w:tc>
              <w:tc>
                <w:tcPr>
                  <w:tcW w:w="675" w:type="pc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1</w:t>
                  </w:r>
                </w:p>
              </w:tc>
              <w:tc>
                <w:tcPr>
                  <w:tcW w:w="1262" w:type="pct"/>
                  <w:vMerge w:val="restar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млн руб. и (или) несоответствия отдельным положениям документов в отношении организации использования и восстановления ресурсов</w:t>
                  </w:r>
                </w:p>
              </w:tc>
              <w:tc>
                <w:tcPr>
                  <w:tcW w:w="1262" w:type="pct"/>
                  <w:vMerge w:val="restar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млн руб. и (или) несоответствия отдельным положениям документов</w:t>
                  </w:r>
                </w:p>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отношении организации использования ресурсов</w:t>
                  </w:r>
                </w:p>
              </w:tc>
              <w:tc>
                <w:tcPr>
                  <w:tcW w:w="1262" w:type="pc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млн руб. и (или) несоответствия отдельным положениям документов</w:t>
                  </w:r>
                </w:p>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отношении организации использования ресурсов</w:t>
                  </w:r>
                </w:p>
              </w:tc>
            </w:tr>
            <w:tr w:rsidR="00990696" w:rsidTr="003C18C7">
              <w:trPr>
                <w:trHeight w:val="480"/>
              </w:trPr>
              <w:tc>
                <w:tcPr>
                  <w:tcW w:w="538" w:type="pct"/>
                  <w:vMerge/>
                  <w:shd w:val="clear" w:color="auto" w:fill="auto"/>
                  <w:tcMar>
                    <w:top w:w="100" w:type="dxa"/>
                    <w:left w:w="100" w:type="dxa"/>
                    <w:bottom w:w="100" w:type="dxa"/>
                    <w:right w:w="100" w:type="dxa"/>
                  </w:tcMa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675" w:type="pc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2</w:t>
                  </w:r>
                </w:p>
              </w:tc>
              <w:tc>
                <w:tcPr>
                  <w:tcW w:w="1262" w:type="pct"/>
                  <w:vMerge/>
                  <w:shd w:val="clear" w:color="auto" w:fill="auto"/>
                  <w:tcMar>
                    <w:top w:w="100" w:type="dxa"/>
                    <w:left w:w="100" w:type="dxa"/>
                    <w:bottom w:w="100" w:type="dxa"/>
                    <w:right w:w="100" w:type="dxa"/>
                  </w:tcMa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262" w:type="pct"/>
                  <w:vMerge/>
                  <w:shd w:val="clear" w:color="auto" w:fill="auto"/>
                  <w:tcMar>
                    <w:top w:w="100" w:type="dxa"/>
                    <w:left w:w="100" w:type="dxa"/>
                    <w:bottom w:w="100" w:type="dxa"/>
                    <w:right w:w="100" w:type="dxa"/>
                  </w:tcMa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262" w:type="pc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млн руб. и (или) несоответствия отдельным положениям документов</w:t>
                  </w:r>
                </w:p>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отношении организации использования ресурсов</w:t>
                  </w:r>
                </w:p>
              </w:tc>
            </w:tr>
            <w:tr w:rsidR="00990696" w:rsidTr="003C18C7">
              <w:trPr>
                <w:trHeight w:val="480"/>
              </w:trPr>
              <w:tc>
                <w:tcPr>
                  <w:tcW w:w="538" w:type="pct"/>
                  <w:vMerge w:val="restar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2</w:t>
                  </w:r>
                </w:p>
              </w:tc>
              <w:tc>
                <w:tcPr>
                  <w:tcW w:w="675" w:type="pc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2</w:t>
                  </w:r>
                </w:p>
              </w:tc>
              <w:tc>
                <w:tcPr>
                  <w:tcW w:w="1262" w:type="pct"/>
                  <w:vMerge/>
                  <w:shd w:val="clear" w:color="auto" w:fill="auto"/>
                  <w:tcMar>
                    <w:top w:w="100" w:type="dxa"/>
                    <w:left w:w="100" w:type="dxa"/>
                    <w:bottom w:w="100" w:type="dxa"/>
                    <w:right w:w="100" w:type="dxa"/>
                  </w:tcMa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262" w:type="pct"/>
                  <w:vMerge w:val="restar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млн руб. и (или) несоответствия отдельным положениям документов</w:t>
                  </w:r>
                </w:p>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отношении восстановления ресурсов</w:t>
                  </w:r>
                </w:p>
                <w:p w:rsidR="00990696" w:rsidRDefault="00990696">
                  <w:pPr>
                    <w:widowControl w:val="0"/>
                    <w:spacing w:after="0" w:line="240" w:lineRule="auto"/>
                    <w:rPr>
                      <w:rFonts w:ascii="Times New Roman" w:eastAsia="Times New Roman" w:hAnsi="Times New Roman" w:cs="Times New Roman"/>
                      <w:sz w:val="24"/>
                      <w:szCs w:val="24"/>
                    </w:rPr>
                  </w:pPr>
                </w:p>
              </w:tc>
              <w:tc>
                <w:tcPr>
                  <w:tcW w:w="1262" w:type="pc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млн руб. и (или) несоответствия отдельным положениям документов</w:t>
                  </w:r>
                </w:p>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отношении восстановления ресурсов</w:t>
                  </w:r>
                </w:p>
              </w:tc>
            </w:tr>
            <w:tr w:rsidR="00990696" w:rsidTr="003C18C7">
              <w:trPr>
                <w:trHeight w:val="480"/>
              </w:trPr>
              <w:tc>
                <w:tcPr>
                  <w:tcW w:w="538" w:type="pct"/>
                  <w:vMerge/>
                  <w:shd w:val="clear" w:color="auto" w:fill="auto"/>
                  <w:tcMar>
                    <w:top w:w="100" w:type="dxa"/>
                    <w:left w:w="100" w:type="dxa"/>
                    <w:bottom w:w="100" w:type="dxa"/>
                    <w:right w:w="100" w:type="dxa"/>
                  </w:tcMa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675" w:type="pc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Объект 3</w:t>
                  </w:r>
                </w:p>
              </w:tc>
              <w:tc>
                <w:tcPr>
                  <w:tcW w:w="1262" w:type="pct"/>
                  <w:vMerge/>
                  <w:shd w:val="clear" w:color="auto" w:fill="auto"/>
                  <w:tcMar>
                    <w:top w:w="100" w:type="dxa"/>
                    <w:left w:w="100" w:type="dxa"/>
                    <w:bottom w:w="100" w:type="dxa"/>
                    <w:right w:w="100" w:type="dxa"/>
                  </w:tcMa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262" w:type="pct"/>
                  <w:vMerge/>
                  <w:shd w:val="clear" w:color="auto" w:fill="auto"/>
                  <w:tcMar>
                    <w:top w:w="100" w:type="dxa"/>
                    <w:left w:w="100" w:type="dxa"/>
                    <w:bottom w:w="100" w:type="dxa"/>
                    <w:right w:w="100" w:type="dxa"/>
                  </w:tcMar>
                </w:tcPr>
                <w:p w:rsidR="00990696" w:rsidRDefault="00990696">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262" w:type="pct"/>
                  <w:shd w:val="clear" w:color="auto" w:fill="auto"/>
                  <w:tcMar>
                    <w:top w:w="100" w:type="dxa"/>
                    <w:left w:w="100" w:type="dxa"/>
                    <w:bottom w:w="100" w:type="dxa"/>
                    <w:right w:w="100" w:type="dxa"/>
                  </w:tcMar>
                </w:tcPr>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млн руб. и (или) несоответствия отдельным положениям документов</w:t>
                  </w:r>
                </w:p>
                <w:p w:rsidR="00990696" w:rsidRDefault="003C585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отношении восстановления ресурсов</w:t>
                  </w:r>
                </w:p>
              </w:tc>
            </w:tr>
          </w:tbl>
          <w:p w:rsidR="00990696" w:rsidRDefault="00990696">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sz w:val="24"/>
                <w:szCs w:val="24"/>
              </w:rPr>
            </w:pPr>
          </w:p>
        </w:tc>
      </w:tr>
    </w:tbl>
    <w:p w:rsidR="00990696" w:rsidRDefault="003C585F" w:rsidP="003C18C7">
      <w:pPr>
        <w:tabs>
          <w:tab w:val="left" w:pos="851"/>
        </w:tabs>
        <w:spacing w:before="200" w:after="0" w:line="360" w:lineRule="auto"/>
        <w:ind w:firstLine="709"/>
        <w:jc w:val="both"/>
        <w:rPr>
          <w:rFonts w:ascii="Times New Roman" w:eastAsia="Times New Roman" w:hAnsi="Times New Roman" w:cs="Times New Roman"/>
          <w:sz w:val="28"/>
          <w:szCs w:val="28"/>
        </w:rPr>
      </w:pPr>
      <w:bookmarkStart w:id="2" w:name="_heading=h.tmf465ooy3xm" w:colFirst="0" w:colLast="0"/>
      <w:bookmarkEnd w:id="2"/>
      <w:r>
        <w:rPr>
          <w:rFonts w:ascii="Times New Roman" w:eastAsia="Times New Roman" w:hAnsi="Times New Roman" w:cs="Times New Roman"/>
          <w:sz w:val="28"/>
          <w:szCs w:val="28"/>
        </w:rPr>
        <w:lastRenderedPageBreak/>
        <w:t>В пунктах 4.3–4.5 настоящего приложения дано подробное описание определения существенности по каждому из подходов, указанных в пункте 1.2 настоящего приложения, в отдельности.</w:t>
      </w:r>
    </w:p>
    <w:p w:rsidR="00990696" w:rsidRDefault="003C585F" w:rsidP="003C18C7">
      <w:pPr>
        <w:spacing w:after="20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 Ниже приведен пример определения единой существенности для всех целей аудита соответствия (подход 1), на основе исходных данных, указанных в пункте 4.1 настоящего приложения.</w:t>
      </w:r>
    </w:p>
    <w:tbl>
      <w:tblPr>
        <w:tblStyle w:val="affe"/>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617"/>
      </w:tblGrid>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ПРИМЕР </w:t>
            </w:r>
            <w:r>
              <w:rPr>
                <w:rFonts w:ascii="Times New Roman" w:eastAsia="Times New Roman" w:hAnsi="Times New Roman" w:cs="Times New Roman"/>
                <w:sz w:val="24"/>
                <w:szCs w:val="24"/>
              </w:rPr>
              <w:t>(РЕКОМЕНДУЕМАЯ ПРАКТИКА)</w:t>
            </w:r>
          </w:p>
        </w:tc>
      </w:tr>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Определение единой существенности для всех целей аудита </w:t>
            </w:r>
            <w:r w:rsidR="003C18C7">
              <w:rPr>
                <w:rFonts w:ascii="Times New Roman" w:eastAsia="Times New Roman" w:hAnsi="Times New Roman" w:cs="Times New Roman"/>
                <w:i/>
                <w:sz w:val="24"/>
                <w:szCs w:val="24"/>
              </w:rPr>
              <w:t>соответствия (подход </w:t>
            </w:r>
            <w:r>
              <w:rPr>
                <w:rFonts w:ascii="Times New Roman" w:eastAsia="Times New Roman" w:hAnsi="Times New Roman" w:cs="Times New Roman"/>
                <w:i/>
                <w:sz w:val="24"/>
                <w:szCs w:val="24"/>
              </w:rPr>
              <w:t>1)</w:t>
            </w:r>
          </w:p>
          <w:p w:rsidR="003C18C7" w:rsidRDefault="003C18C7">
            <w:pPr>
              <w:tabs>
                <w:tab w:val="left" w:pos="851"/>
              </w:tabs>
              <w:spacing w:after="0" w:line="240" w:lineRule="auto"/>
              <w:ind w:left="141" w:firstLine="566"/>
              <w:jc w:val="both"/>
              <w:rPr>
                <w:rFonts w:ascii="Times New Roman" w:eastAsia="Times New Roman" w:hAnsi="Times New Roman" w:cs="Times New Roman"/>
                <w:i/>
                <w:sz w:val="24"/>
                <w:szCs w:val="24"/>
              </w:rPr>
            </w:pP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 Качественная оценка существенности</w:t>
            </w:r>
            <w:r>
              <w:rPr>
                <w:rFonts w:ascii="Times New Roman" w:eastAsia="Times New Roman" w:hAnsi="Times New Roman" w:cs="Times New Roman"/>
                <w:sz w:val="24"/>
                <w:szCs w:val="24"/>
              </w:rPr>
              <w:t xml:space="preserve"> </w:t>
            </w:r>
          </w:p>
          <w:p w:rsidR="00990696" w:rsidRDefault="003C585F">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Отдельные положения Лесного кодекса Российской Федерации и иных нормативных правовых актов в отношении организации использования и восстановления лесных ресурсов.</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Отдельные положения документов, регулирующих лесные отношения, определены на основании профессионального суждения участников мероприятия по согласованию с членом Коллегии Счетной палаты, ответственным за проведение мероприятия, с учетом информации об ожиданиях пользователей информации о результатах мероприятия.</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 Количественная оценка существенности</w:t>
            </w:r>
            <w:r>
              <w:rPr>
                <w:rFonts w:ascii="Times New Roman" w:eastAsia="Times New Roman" w:hAnsi="Times New Roman" w:cs="Times New Roman"/>
                <w:sz w:val="24"/>
                <w:szCs w:val="24"/>
              </w:rPr>
              <w:t xml:space="preserve"> </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Pr>
                <w:rFonts w:ascii="Times New Roman" w:eastAsia="Times New Roman" w:hAnsi="Times New Roman" w:cs="Times New Roman"/>
                <w:b/>
                <w:sz w:val="24"/>
                <w:szCs w:val="24"/>
              </w:rPr>
              <w:t>Контрольный показатель</w:t>
            </w:r>
            <w:r>
              <w:rPr>
                <w:rFonts w:ascii="Times New Roman" w:eastAsia="Times New Roman" w:hAnsi="Times New Roman" w:cs="Times New Roman"/>
                <w:sz w:val="24"/>
                <w:szCs w:val="24"/>
              </w:rPr>
              <w:t>: бюджетные ассигнования, предусмотренные объектам мероприятия за рассматриваемый период, в размере 1 млрд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Pr>
                <w:rFonts w:ascii="Times New Roman" w:eastAsia="Times New Roman" w:hAnsi="Times New Roman" w:cs="Times New Roman"/>
                <w:b/>
                <w:sz w:val="24"/>
                <w:szCs w:val="24"/>
              </w:rPr>
              <w:t xml:space="preserve"> Уровень риска</w:t>
            </w:r>
            <w:r>
              <w:rPr>
                <w:rFonts w:ascii="Times New Roman" w:eastAsia="Times New Roman" w:hAnsi="Times New Roman" w:cs="Times New Roman"/>
                <w:sz w:val="24"/>
                <w:szCs w:val="24"/>
              </w:rPr>
              <w:t>: средний.</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w:t>
            </w:r>
            <w:r>
              <w:rPr>
                <w:rFonts w:ascii="Times New Roman" w:eastAsia="Times New Roman" w:hAnsi="Times New Roman" w:cs="Times New Roman"/>
                <w:b/>
                <w:sz w:val="24"/>
                <w:szCs w:val="24"/>
              </w:rPr>
              <w:t xml:space="preserve">Пороговое </w:t>
            </w:r>
            <w:r w:rsidR="003C18C7">
              <w:rPr>
                <w:rFonts w:ascii="Times New Roman" w:eastAsia="Times New Roman" w:hAnsi="Times New Roman" w:cs="Times New Roman"/>
                <w:b/>
                <w:sz w:val="24"/>
                <w:szCs w:val="24"/>
              </w:rPr>
              <w:t>значение</w:t>
            </w:r>
            <w:r w:rsidR="003C18C7">
              <w:rPr>
                <w:rFonts w:ascii="Times New Roman" w:eastAsia="Times New Roman" w:hAnsi="Times New Roman" w:cs="Times New Roman"/>
                <w:sz w:val="24"/>
                <w:szCs w:val="24"/>
              </w:rPr>
              <w:t>: 1</w:t>
            </w:r>
            <w:r>
              <w:rPr>
                <w:rFonts w:ascii="Times New Roman" w:eastAsia="Times New Roman" w:hAnsi="Times New Roman" w:cs="Times New Roman"/>
                <w:sz w:val="24"/>
                <w:szCs w:val="24"/>
              </w:rPr>
              <w:t>%</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риска и пороговое значение определены на основании профессионального суждения участников мероприятия по согласованию с членом Коллегии Счетной палаты, ответственным за проведение мероприятия, с учетом информации по результатам проведенных ранее мероприятий Счетной палаты.</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w:t>
            </w:r>
            <w:r>
              <w:rPr>
                <w:rFonts w:ascii="Times New Roman" w:eastAsia="Times New Roman" w:hAnsi="Times New Roman" w:cs="Times New Roman"/>
                <w:b/>
                <w:sz w:val="24"/>
                <w:szCs w:val="24"/>
              </w:rPr>
              <w:t>Уровень существенности</w:t>
            </w:r>
            <w:r>
              <w:rPr>
                <w:rFonts w:ascii="Times New Roman" w:eastAsia="Times New Roman" w:hAnsi="Times New Roman" w:cs="Times New Roman"/>
                <w:sz w:val="24"/>
                <w:szCs w:val="24"/>
              </w:rPr>
              <w:t>: 10 млн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Уровень существенности определен умножением величины контрольного показателя (1 млрд руб.) на пороговое значение (1%).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Таким образом, существенными несоответствиями в данном примере будут являться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 несоответствия отдельным положениям Лесного кодекса Российской Федерации и иных нормативных правовых актов (качественная оценка существенности)</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и (или)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 несоответствия, по отдельности или в совокупности превышающие 10 млн руб. (количественная оценка существенности).</w:t>
            </w:r>
          </w:p>
        </w:tc>
      </w:tr>
    </w:tbl>
    <w:p w:rsidR="00990696" w:rsidRDefault="003C585F" w:rsidP="001B0608">
      <w:pPr>
        <w:spacing w:after="20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4.4. Ниже приведен пример определения существенности по каждой цели аудита соответствия (подход 2), на основе исходных данных, указанных в пункте</w:t>
      </w:r>
      <w:r w:rsidR="00E53632">
        <w:rPr>
          <w:rFonts w:ascii="Times New Roman" w:eastAsia="Times New Roman" w:hAnsi="Times New Roman" w:cs="Times New Roman"/>
          <w:sz w:val="28"/>
          <w:szCs w:val="28"/>
        </w:rPr>
        <w:t> </w:t>
      </w:r>
      <w:r>
        <w:rPr>
          <w:rFonts w:ascii="Times New Roman" w:eastAsia="Times New Roman" w:hAnsi="Times New Roman" w:cs="Times New Roman"/>
          <w:sz w:val="28"/>
          <w:szCs w:val="28"/>
        </w:rPr>
        <w:t>4.1 настоящего приложения.</w:t>
      </w:r>
    </w:p>
    <w:tbl>
      <w:tblPr>
        <w:tblStyle w:val="afff"/>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617"/>
      </w:tblGrid>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ПРИМЕР </w:t>
            </w:r>
            <w:r>
              <w:rPr>
                <w:rFonts w:ascii="Times New Roman" w:eastAsia="Times New Roman" w:hAnsi="Times New Roman" w:cs="Times New Roman"/>
                <w:sz w:val="24"/>
                <w:szCs w:val="24"/>
              </w:rPr>
              <w:t>(РЕКОМЕНДУЕМАЯ ПРАКТИКА)</w:t>
            </w:r>
          </w:p>
        </w:tc>
      </w:tr>
      <w:tr w:rsidR="00990696" w:rsidTr="003C18C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Определение существенности по каждой цели аудита соответствия (подход 2)</w:t>
            </w:r>
          </w:p>
          <w:p w:rsidR="003C18C7" w:rsidRDefault="003C18C7">
            <w:pPr>
              <w:tabs>
                <w:tab w:val="left" w:pos="851"/>
              </w:tabs>
              <w:spacing w:after="0" w:line="240" w:lineRule="auto"/>
              <w:ind w:left="141" w:firstLine="566"/>
              <w:jc w:val="both"/>
              <w:rPr>
                <w:rFonts w:ascii="Times New Roman" w:eastAsia="Times New Roman" w:hAnsi="Times New Roman" w:cs="Times New Roman"/>
                <w:i/>
                <w:sz w:val="24"/>
                <w:szCs w:val="24"/>
              </w:rPr>
            </w:pP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 Качественная оценка существенности</w:t>
            </w:r>
            <w:r>
              <w:rPr>
                <w:rFonts w:ascii="Times New Roman" w:eastAsia="Times New Roman" w:hAnsi="Times New Roman" w:cs="Times New Roman"/>
                <w:sz w:val="24"/>
                <w:szCs w:val="24"/>
              </w:rPr>
              <w:t xml:space="preserve"> </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Качественная оценка существенности по цели 1</w:t>
            </w:r>
            <w:r>
              <w:rPr>
                <w:rFonts w:ascii="Times New Roman" w:eastAsia="Times New Roman" w:hAnsi="Times New Roman" w:cs="Times New Roman"/>
                <w:sz w:val="24"/>
                <w:szCs w:val="24"/>
              </w:rPr>
              <w:t xml:space="preserve">: отдельные положения Лесного кодекса Российской Федерации и иных нормативных правовых актов в отношении </w:t>
            </w:r>
            <w:r>
              <w:rPr>
                <w:rFonts w:ascii="Times New Roman" w:eastAsia="Times New Roman" w:hAnsi="Times New Roman" w:cs="Times New Roman"/>
                <w:b/>
                <w:sz w:val="24"/>
                <w:szCs w:val="24"/>
              </w:rPr>
              <w:t>организации использования</w:t>
            </w:r>
            <w:r>
              <w:rPr>
                <w:rFonts w:ascii="Times New Roman" w:eastAsia="Times New Roman" w:hAnsi="Times New Roman" w:cs="Times New Roman"/>
                <w:sz w:val="24"/>
                <w:szCs w:val="24"/>
              </w:rPr>
              <w:t xml:space="preserve"> лесных ресурсов.</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Качественная оценка существенности по цели 2</w:t>
            </w:r>
            <w:r>
              <w:rPr>
                <w:rFonts w:ascii="Times New Roman" w:eastAsia="Times New Roman" w:hAnsi="Times New Roman" w:cs="Times New Roman"/>
                <w:sz w:val="24"/>
                <w:szCs w:val="24"/>
              </w:rPr>
              <w:t xml:space="preserve">: отдельные положения Лесного кодекса Российской Федерации и иных нормативных правовых актов в отношении </w:t>
            </w:r>
            <w:r>
              <w:rPr>
                <w:rFonts w:ascii="Times New Roman" w:eastAsia="Times New Roman" w:hAnsi="Times New Roman" w:cs="Times New Roman"/>
                <w:b/>
                <w:sz w:val="24"/>
                <w:szCs w:val="24"/>
              </w:rPr>
              <w:t>восстановления</w:t>
            </w:r>
            <w:r>
              <w:rPr>
                <w:rFonts w:ascii="Times New Roman" w:eastAsia="Times New Roman" w:hAnsi="Times New Roman" w:cs="Times New Roman"/>
                <w:sz w:val="24"/>
                <w:szCs w:val="24"/>
              </w:rPr>
              <w:t xml:space="preserve"> лесных ресурсов.</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Отдельные положения документов, регулирующих лесные отношения, определены на основании профессионального суждения участников мероприятия по согласованию с членом Коллегии Счетной палаты, ответственным за проведение мероприятия, с учетом информации об ожиданиях пользователей информации о результатах мероприятия.</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 Количественная оценка существенности</w:t>
            </w:r>
            <w:r>
              <w:rPr>
                <w:rFonts w:ascii="Times New Roman" w:eastAsia="Times New Roman" w:hAnsi="Times New Roman" w:cs="Times New Roman"/>
                <w:sz w:val="24"/>
                <w:szCs w:val="24"/>
              </w:rPr>
              <w:t xml:space="preserve"> </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Pr>
                <w:rFonts w:ascii="Times New Roman" w:eastAsia="Times New Roman" w:hAnsi="Times New Roman" w:cs="Times New Roman"/>
                <w:b/>
                <w:sz w:val="24"/>
                <w:szCs w:val="24"/>
              </w:rPr>
              <w:t>Контрольный показатель</w:t>
            </w:r>
            <w:r>
              <w:rPr>
                <w:rFonts w:ascii="Times New Roman" w:eastAsia="Times New Roman" w:hAnsi="Times New Roman" w:cs="Times New Roman"/>
                <w:sz w:val="24"/>
                <w:szCs w:val="24"/>
              </w:rPr>
              <w:t>: бюджетные ассигнования, предусмотренные объектам мероприятия за рассматриваемый период:</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1</w:t>
            </w:r>
            <w:r>
              <w:rPr>
                <w:rFonts w:ascii="Times New Roman" w:eastAsia="Times New Roman" w:hAnsi="Times New Roman" w:cs="Times New Roman"/>
                <w:sz w:val="24"/>
                <w:szCs w:val="24"/>
              </w:rPr>
              <w:t xml:space="preserve"> – 800 млн руб.</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показатель по цели 1 получен суммированием бюджетных ассигнований по Объекту 1 (300 млн руб.) и Объекту 2 (500 млн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2</w:t>
            </w:r>
            <w:r>
              <w:rPr>
                <w:rFonts w:ascii="Times New Roman" w:eastAsia="Times New Roman" w:hAnsi="Times New Roman" w:cs="Times New Roman"/>
                <w:sz w:val="24"/>
                <w:szCs w:val="24"/>
              </w:rPr>
              <w:t xml:space="preserve"> – 700 млн руб.</w:t>
            </w:r>
          </w:p>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показатель по цели 2 получен суммированием бюджетных ассигнований по Объекту 2 (500 млн руб.) и Объекту 3 (200 млн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Pr>
                <w:rFonts w:ascii="Times New Roman" w:eastAsia="Times New Roman" w:hAnsi="Times New Roman" w:cs="Times New Roman"/>
                <w:b/>
                <w:sz w:val="24"/>
                <w:szCs w:val="24"/>
              </w:rPr>
              <w:t xml:space="preserve"> Уровень риска</w:t>
            </w:r>
            <w:r>
              <w:rPr>
                <w:rFonts w:ascii="Times New Roman" w:eastAsia="Times New Roman" w:hAnsi="Times New Roman" w:cs="Times New Roman"/>
                <w:sz w:val="24"/>
                <w:szCs w:val="24"/>
              </w:rPr>
              <w:t xml:space="preserve">: </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1 – средний;</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2 – высокий.</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w:t>
            </w:r>
            <w:r>
              <w:rPr>
                <w:rFonts w:ascii="Times New Roman" w:eastAsia="Times New Roman" w:hAnsi="Times New Roman" w:cs="Times New Roman"/>
                <w:b/>
                <w:sz w:val="24"/>
                <w:szCs w:val="24"/>
              </w:rPr>
              <w:t>Пороговое значение</w:t>
            </w:r>
            <w:r>
              <w:rPr>
                <w:rFonts w:ascii="Times New Roman" w:eastAsia="Times New Roman" w:hAnsi="Times New Roman" w:cs="Times New Roman"/>
                <w:sz w:val="24"/>
                <w:szCs w:val="24"/>
              </w:rPr>
              <w:t xml:space="preserve">: </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1</w:t>
            </w:r>
            <w:r>
              <w:rPr>
                <w:rFonts w:ascii="Times New Roman" w:eastAsia="Times New Roman" w:hAnsi="Times New Roman" w:cs="Times New Roman"/>
                <w:sz w:val="24"/>
                <w:szCs w:val="24"/>
              </w:rPr>
              <w:t xml:space="preserve"> – 1%;</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2</w:t>
            </w:r>
            <w:r>
              <w:rPr>
                <w:rFonts w:ascii="Times New Roman" w:eastAsia="Times New Roman" w:hAnsi="Times New Roman" w:cs="Times New Roman"/>
                <w:sz w:val="24"/>
                <w:szCs w:val="24"/>
              </w:rPr>
              <w:t xml:space="preserve"> – 0,5%.</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Уровни риска и пороговые значения определены на основании профессионального суждения участников мероприятия по согласованию с членом Коллегии Счетной палаты, ответственным за проведение мероприятия, с учетом информации по результатам проведенных ранее мероприятий Счетной палаты.</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w:t>
            </w:r>
            <w:r>
              <w:rPr>
                <w:rFonts w:ascii="Times New Roman" w:eastAsia="Times New Roman" w:hAnsi="Times New Roman" w:cs="Times New Roman"/>
                <w:b/>
                <w:sz w:val="24"/>
                <w:szCs w:val="24"/>
              </w:rPr>
              <w:t>Уровень существенности</w:t>
            </w:r>
            <w:r>
              <w:rPr>
                <w:rFonts w:ascii="Times New Roman" w:eastAsia="Times New Roman" w:hAnsi="Times New Roman" w:cs="Times New Roman"/>
                <w:sz w:val="24"/>
                <w:szCs w:val="24"/>
              </w:rPr>
              <w:t xml:space="preserve">: </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1</w:t>
            </w:r>
            <w:r>
              <w:rPr>
                <w:rFonts w:ascii="Times New Roman" w:eastAsia="Times New Roman" w:hAnsi="Times New Roman" w:cs="Times New Roman"/>
                <w:sz w:val="24"/>
                <w:szCs w:val="24"/>
              </w:rPr>
              <w:t xml:space="preserve"> – 8 млн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Уровень существенности по цели 1 определен умножением величины контрольного показателя (800 млн руб.) на пороговое значение (1%);</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2</w:t>
            </w:r>
            <w:r>
              <w:rPr>
                <w:rFonts w:ascii="Times New Roman" w:eastAsia="Times New Roman" w:hAnsi="Times New Roman" w:cs="Times New Roman"/>
                <w:sz w:val="24"/>
                <w:szCs w:val="24"/>
              </w:rPr>
              <w:t xml:space="preserve"> – 3,5 млн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существенности по цели 2 определен умножением величины контрольного показателя (700 млн руб.) на пороговое значение (0,5%)</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Таким образом, существенными несоответствиями </w:t>
            </w:r>
            <w:r>
              <w:rPr>
                <w:rFonts w:ascii="Times New Roman" w:eastAsia="Times New Roman" w:hAnsi="Times New Roman" w:cs="Times New Roman"/>
                <w:b/>
                <w:i/>
                <w:sz w:val="24"/>
                <w:szCs w:val="24"/>
              </w:rPr>
              <w:t xml:space="preserve">по цели 1 </w:t>
            </w:r>
            <w:r>
              <w:rPr>
                <w:rFonts w:ascii="Times New Roman" w:eastAsia="Times New Roman" w:hAnsi="Times New Roman" w:cs="Times New Roman"/>
                <w:i/>
                <w:sz w:val="24"/>
                <w:szCs w:val="24"/>
              </w:rPr>
              <w:t xml:space="preserve">в данном примере будут являться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 несоответствия отдельным положениям Лесного кодекса Российской Федерации и иных нормативных правовых актов в отношении организации использования лесных ресурсов (качественная оценка существенности)</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и (или)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 несоответствия, по отдельности или в совокупности превышающие 8 млн руб. (количественная оценка существенности).</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Существенными несоответствиями </w:t>
            </w:r>
            <w:r>
              <w:rPr>
                <w:rFonts w:ascii="Times New Roman" w:eastAsia="Times New Roman" w:hAnsi="Times New Roman" w:cs="Times New Roman"/>
                <w:b/>
                <w:i/>
                <w:sz w:val="24"/>
                <w:szCs w:val="24"/>
              </w:rPr>
              <w:t xml:space="preserve">по цели 2 </w:t>
            </w:r>
            <w:r>
              <w:rPr>
                <w:rFonts w:ascii="Times New Roman" w:eastAsia="Times New Roman" w:hAnsi="Times New Roman" w:cs="Times New Roman"/>
                <w:i/>
                <w:sz w:val="24"/>
                <w:szCs w:val="24"/>
              </w:rPr>
              <w:t xml:space="preserve">в данном примере будут являться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 несоответствия отдельным положениям Лесного кодекса Российской Федерации и иных нормативных правовых актов в отношении восстановления лесных ресурсов (качественная оценка существенности)</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и (или)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 несоответствия, по отдельности или в совокупности превышающие 3,5 млн руб. (количественная оценка существенности).</w:t>
            </w:r>
          </w:p>
        </w:tc>
      </w:tr>
    </w:tbl>
    <w:p w:rsidR="00990696" w:rsidRDefault="003C585F" w:rsidP="008D12A7">
      <w:pPr>
        <w:spacing w:before="200" w:after="20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4.5. Ниже приведен пример определения существенности по каждой цели аудита соответствия в разрезе объектов аудита соответствия (подход 3), на основе исходных данных, указанных в пункте 4.1 настоящего приложения.</w:t>
      </w:r>
    </w:p>
    <w:tbl>
      <w:tblPr>
        <w:tblStyle w:val="afff0"/>
        <w:tblW w:w="5000" w:type="pct"/>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9617"/>
      </w:tblGrid>
      <w:tr w:rsidR="00990696" w:rsidTr="008D12A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ПРИМЕР </w:t>
            </w:r>
            <w:r>
              <w:rPr>
                <w:rFonts w:ascii="Times New Roman" w:eastAsia="Times New Roman" w:hAnsi="Times New Roman" w:cs="Times New Roman"/>
                <w:sz w:val="24"/>
                <w:szCs w:val="24"/>
              </w:rPr>
              <w:t>(РЕКОМЕНДУЕМАЯ ПРАКТИКА)</w:t>
            </w:r>
          </w:p>
        </w:tc>
      </w:tr>
      <w:tr w:rsidR="00990696" w:rsidTr="008D12A7">
        <w:tc>
          <w:tcPr>
            <w:tcW w:w="5000" w:type="pct"/>
            <w:shd w:val="clear" w:color="auto" w:fill="auto"/>
            <w:tcMar>
              <w:top w:w="100" w:type="dxa"/>
              <w:left w:w="100" w:type="dxa"/>
              <w:bottom w:w="100" w:type="dxa"/>
              <w:right w:w="100" w:type="dxa"/>
            </w:tcMar>
          </w:tcPr>
          <w:p w:rsidR="00990696" w:rsidRDefault="003C585F">
            <w:pPr>
              <w:tabs>
                <w:tab w:val="left" w:pos="851"/>
              </w:tabs>
              <w:spacing w:after="0" w:line="240" w:lineRule="auto"/>
              <w:ind w:left="141"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Определение существенности по каждой цели аудита соответствия в разрезе объектов аудита соответствия (подход 3)</w:t>
            </w:r>
          </w:p>
          <w:p w:rsidR="008D12A7" w:rsidRDefault="008D12A7">
            <w:pPr>
              <w:tabs>
                <w:tab w:val="left" w:pos="851"/>
              </w:tabs>
              <w:spacing w:after="0" w:line="240" w:lineRule="auto"/>
              <w:ind w:left="141" w:firstLine="566"/>
              <w:jc w:val="both"/>
              <w:rPr>
                <w:rFonts w:ascii="Times New Roman" w:eastAsia="Times New Roman" w:hAnsi="Times New Roman" w:cs="Times New Roman"/>
                <w:i/>
                <w:sz w:val="24"/>
                <w:szCs w:val="24"/>
              </w:rPr>
            </w:pP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1. Качественная оценка существенности</w:t>
            </w:r>
            <w:r>
              <w:rPr>
                <w:rFonts w:ascii="Times New Roman" w:eastAsia="Times New Roman" w:hAnsi="Times New Roman" w:cs="Times New Roman"/>
                <w:sz w:val="24"/>
                <w:szCs w:val="24"/>
              </w:rPr>
              <w:t xml:space="preserve"> </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Качественная оценка существенности по цели 1</w:t>
            </w:r>
            <w:r>
              <w:rPr>
                <w:rFonts w:ascii="Times New Roman" w:eastAsia="Times New Roman" w:hAnsi="Times New Roman" w:cs="Times New Roman"/>
                <w:sz w:val="24"/>
                <w:szCs w:val="24"/>
              </w:rPr>
              <w:t xml:space="preserve">: отдельные положения Лесного кодекса Российской Федерации и иных нормативных правовых актов в отношении </w:t>
            </w:r>
            <w:r>
              <w:rPr>
                <w:rFonts w:ascii="Times New Roman" w:eastAsia="Times New Roman" w:hAnsi="Times New Roman" w:cs="Times New Roman"/>
                <w:b/>
                <w:sz w:val="24"/>
                <w:szCs w:val="24"/>
              </w:rPr>
              <w:t>организации использования</w:t>
            </w:r>
            <w:r>
              <w:rPr>
                <w:rFonts w:ascii="Times New Roman" w:eastAsia="Times New Roman" w:hAnsi="Times New Roman" w:cs="Times New Roman"/>
                <w:sz w:val="24"/>
                <w:szCs w:val="24"/>
              </w:rPr>
              <w:t xml:space="preserve"> лесных ресурсов.</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Качественная оценка существенности по цели 2</w:t>
            </w:r>
            <w:r>
              <w:rPr>
                <w:rFonts w:ascii="Times New Roman" w:eastAsia="Times New Roman" w:hAnsi="Times New Roman" w:cs="Times New Roman"/>
                <w:sz w:val="24"/>
                <w:szCs w:val="24"/>
              </w:rPr>
              <w:t xml:space="preserve">: отдельные положения Лесного кодекса Российской Федерации и иных нормативных правовых актов в отношении </w:t>
            </w:r>
            <w:r>
              <w:rPr>
                <w:rFonts w:ascii="Times New Roman" w:eastAsia="Times New Roman" w:hAnsi="Times New Roman" w:cs="Times New Roman"/>
                <w:b/>
                <w:sz w:val="24"/>
                <w:szCs w:val="24"/>
              </w:rPr>
              <w:t>восстановления</w:t>
            </w:r>
            <w:r>
              <w:rPr>
                <w:rFonts w:ascii="Times New Roman" w:eastAsia="Times New Roman" w:hAnsi="Times New Roman" w:cs="Times New Roman"/>
                <w:sz w:val="24"/>
                <w:szCs w:val="24"/>
              </w:rPr>
              <w:t xml:space="preserve"> лесных ресурсов.</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Отдельные положения документов, регулирующих лесные отношения, определены на основании профессионального суждения участников мероприятия по согласованию с </w:t>
            </w:r>
            <w:r>
              <w:rPr>
                <w:rFonts w:ascii="Times New Roman" w:eastAsia="Times New Roman" w:hAnsi="Times New Roman" w:cs="Times New Roman"/>
                <w:sz w:val="24"/>
                <w:szCs w:val="24"/>
              </w:rPr>
              <w:lastRenderedPageBreak/>
              <w:t>членом Коллегии Счетной палаты, ответственным за проведение мероприятия, с учетом информации об ожиданиях пользователей информации о результатах мероприятия.</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 Количественная оценка существенности</w:t>
            </w:r>
            <w:r>
              <w:rPr>
                <w:rFonts w:ascii="Times New Roman" w:eastAsia="Times New Roman" w:hAnsi="Times New Roman" w:cs="Times New Roman"/>
                <w:sz w:val="24"/>
                <w:szCs w:val="24"/>
              </w:rPr>
              <w:t xml:space="preserve"> </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 </w:t>
            </w:r>
            <w:r>
              <w:rPr>
                <w:rFonts w:ascii="Times New Roman" w:eastAsia="Times New Roman" w:hAnsi="Times New Roman" w:cs="Times New Roman"/>
                <w:b/>
                <w:sz w:val="24"/>
                <w:szCs w:val="24"/>
              </w:rPr>
              <w:t>Контрольный показатель</w:t>
            </w:r>
            <w:r>
              <w:rPr>
                <w:rFonts w:ascii="Times New Roman" w:eastAsia="Times New Roman" w:hAnsi="Times New Roman" w:cs="Times New Roman"/>
                <w:sz w:val="24"/>
                <w:szCs w:val="24"/>
              </w:rPr>
              <w:t>: бюджетные ассигнования, предусмотренные объектам мероприятия за рассматриваемый период:</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1, Объект 1</w:t>
            </w:r>
            <w:r>
              <w:rPr>
                <w:rFonts w:ascii="Times New Roman" w:eastAsia="Times New Roman" w:hAnsi="Times New Roman" w:cs="Times New Roman"/>
                <w:sz w:val="24"/>
                <w:szCs w:val="24"/>
              </w:rPr>
              <w:t xml:space="preserve"> – 300 млн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1, Объект 2 / Цель 2, Объект 2</w:t>
            </w:r>
            <w:r>
              <w:rPr>
                <w:rFonts w:ascii="Times New Roman" w:eastAsia="Times New Roman" w:hAnsi="Times New Roman" w:cs="Times New Roman"/>
                <w:sz w:val="24"/>
                <w:szCs w:val="24"/>
              </w:rPr>
              <w:t xml:space="preserve"> – 500 млн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2, Объект 3</w:t>
            </w:r>
            <w:r>
              <w:rPr>
                <w:rFonts w:ascii="Times New Roman" w:eastAsia="Times New Roman" w:hAnsi="Times New Roman" w:cs="Times New Roman"/>
                <w:sz w:val="24"/>
                <w:szCs w:val="24"/>
              </w:rPr>
              <w:t xml:space="preserve"> – 200 млн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Pr>
                <w:rFonts w:ascii="Times New Roman" w:eastAsia="Times New Roman" w:hAnsi="Times New Roman" w:cs="Times New Roman"/>
                <w:b/>
                <w:sz w:val="24"/>
                <w:szCs w:val="24"/>
              </w:rPr>
              <w:t xml:space="preserve"> Уровень риска</w:t>
            </w:r>
            <w:r>
              <w:rPr>
                <w:rFonts w:ascii="Times New Roman" w:eastAsia="Times New Roman" w:hAnsi="Times New Roman" w:cs="Times New Roman"/>
                <w:sz w:val="24"/>
                <w:szCs w:val="24"/>
              </w:rPr>
              <w:t xml:space="preserve">: </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1, Объект 1</w:t>
            </w:r>
            <w:r>
              <w:rPr>
                <w:rFonts w:ascii="Times New Roman" w:eastAsia="Times New Roman" w:hAnsi="Times New Roman" w:cs="Times New Roman"/>
                <w:sz w:val="24"/>
                <w:szCs w:val="24"/>
              </w:rPr>
              <w:t xml:space="preserve"> – низкий;</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1, Объект 2 / Цель 2, Объект 2</w:t>
            </w:r>
            <w:r>
              <w:rPr>
                <w:rFonts w:ascii="Times New Roman" w:eastAsia="Times New Roman" w:hAnsi="Times New Roman" w:cs="Times New Roman"/>
                <w:sz w:val="24"/>
                <w:szCs w:val="24"/>
              </w:rPr>
              <w:t xml:space="preserve"> – средний;</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2, Объект 3</w:t>
            </w:r>
            <w:r>
              <w:rPr>
                <w:rFonts w:ascii="Times New Roman" w:eastAsia="Times New Roman" w:hAnsi="Times New Roman" w:cs="Times New Roman"/>
                <w:sz w:val="24"/>
                <w:szCs w:val="24"/>
              </w:rPr>
              <w:t xml:space="preserve"> – высокий.</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w:t>
            </w:r>
            <w:r>
              <w:rPr>
                <w:rFonts w:ascii="Times New Roman" w:eastAsia="Times New Roman" w:hAnsi="Times New Roman" w:cs="Times New Roman"/>
                <w:b/>
                <w:sz w:val="24"/>
                <w:szCs w:val="24"/>
              </w:rPr>
              <w:t>Пороговое значение</w:t>
            </w:r>
            <w:r>
              <w:rPr>
                <w:rFonts w:ascii="Times New Roman" w:eastAsia="Times New Roman" w:hAnsi="Times New Roman" w:cs="Times New Roman"/>
                <w:sz w:val="24"/>
                <w:szCs w:val="24"/>
              </w:rPr>
              <w:t xml:space="preserve">: </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1, Объект 1</w:t>
            </w:r>
            <w:r>
              <w:rPr>
                <w:rFonts w:ascii="Times New Roman" w:eastAsia="Times New Roman" w:hAnsi="Times New Roman" w:cs="Times New Roman"/>
                <w:sz w:val="24"/>
                <w:szCs w:val="24"/>
              </w:rPr>
              <w:t xml:space="preserve"> – 2%;</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1, Объект 2 / Цель 2, Объект 2</w:t>
            </w:r>
            <w:r>
              <w:rPr>
                <w:rFonts w:ascii="Times New Roman" w:eastAsia="Times New Roman" w:hAnsi="Times New Roman" w:cs="Times New Roman"/>
                <w:sz w:val="24"/>
                <w:szCs w:val="24"/>
              </w:rPr>
              <w:t xml:space="preserve"> – 1%;</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2, Объект 3</w:t>
            </w:r>
            <w:r>
              <w:rPr>
                <w:rFonts w:ascii="Times New Roman" w:eastAsia="Times New Roman" w:hAnsi="Times New Roman" w:cs="Times New Roman"/>
                <w:sz w:val="24"/>
                <w:szCs w:val="24"/>
              </w:rPr>
              <w:t xml:space="preserve"> – 0,5%;</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Уровни риска и пороговые значения определены на основании профессионального суждения участников мероприятия по согласованию с членом Коллегии Счетной палаты, ответственным за проведение мероприятия, с учетом информации по результатам проведенных ранее мероприятий Счетной палаты.</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w:t>
            </w:r>
            <w:r>
              <w:rPr>
                <w:rFonts w:ascii="Times New Roman" w:eastAsia="Times New Roman" w:hAnsi="Times New Roman" w:cs="Times New Roman"/>
                <w:b/>
                <w:sz w:val="24"/>
                <w:szCs w:val="24"/>
              </w:rPr>
              <w:t>Уровень существенности</w:t>
            </w:r>
            <w:r>
              <w:rPr>
                <w:rFonts w:ascii="Times New Roman" w:eastAsia="Times New Roman" w:hAnsi="Times New Roman" w:cs="Times New Roman"/>
                <w:sz w:val="24"/>
                <w:szCs w:val="24"/>
              </w:rPr>
              <w:t xml:space="preserve">: </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1, Объект 1</w:t>
            </w:r>
            <w:r>
              <w:rPr>
                <w:rFonts w:ascii="Times New Roman" w:eastAsia="Times New Roman" w:hAnsi="Times New Roman" w:cs="Times New Roman"/>
                <w:sz w:val="24"/>
                <w:szCs w:val="24"/>
              </w:rPr>
              <w:t xml:space="preserve"> – 6 млн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существенности по цели 1, Объекту 1 определен умножением величины контрольного показателя (600 млн руб.) на пороговое значение (2%);</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1, Объект 2 / Цель 2, Объект 2</w:t>
            </w:r>
            <w:r w:rsidR="00BB25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5 млн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существенности по цели 1, Объекту 2 / цели 2, Объекту 2 определен умножением величины контрольного показателя (500 млн руб.) на пороговое значение (1%)</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Цель 2, Объект 3</w:t>
            </w:r>
            <w:r>
              <w:rPr>
                <w:rFonts w:ascii="Times New Roman" w:eastAsia="Times New Roman" w:hAnsi="Times New Roman" w:cs="Times New Roman"/>
                <w:sz w:val="24"/>
                <w:szCs w:val="24"/>
              </w:rPr>
              <w:t xml:space="preserve"> – 1 млн руб.</w:t>
            </w:r>
          </w:p>
          <w:p w:rsidR="00990696" w:rsidRDefault="003C585F">
            <w:pPr>
              <w:spacing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 существенности по цели 2, Объекту 3 определен умножением величины контрольного показателя (200 млн руб.) на пороговое значение (0,5%);</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Таким образом, существенными несоответствиями </w:t>
            </w:r>
            <w:r>
              <w:rPr>
                <w:rFonts w:ascii="Times New Roman" w:eastAsia="Times New Roman" w:hAnsi="Times New Roman" w:cs="Times New Roman"/>
                <w:b/>
                <w:i/>
                <w:sz w:val="24"/>
                <w:szCs w:val="24"/>
              </w:rPr>
              <w:t xml:space="preserve">по цели 1 </w:t>
            </w:r>
            <w:r>
              <w:rPr>
                <w:rFonts w:ascii="Times New Roman" w:eastAsia="Times New Roman" w:hAnsi="Times New Roman" w:cs="Times New Roman"/>
                <w:i/>
                <w:sz w:val="24"/>
                <w:szCs w:val="24"/>
              </w:rPr>
              <w:t xml:space="preserve">в данном примере будут являться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 несоответствия отдельным положениям Лесного кодекса Российской Федерации и иных нормативных правовых актов в отношении организации использования лесных ресурсов (качественная оценка существенности)</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и (или)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lastRenderedPageBreak/>
              <w:t>(2) несоответствия, по отдельности или в совокупности превышающие 6 млн руб. – для Объекта 1 (количественная оценка существенности)</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и (или)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 несоответствия, по отдельности или в совокупности превышающие 5 млн руб. – для Объекта 2 (количественная оценка существенности).</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Существенными несоответствиями </w:t>
            </w:r>
            <w:r>
              <w:rPr>
                <w:rFonts w:ascii="Times New Roman" w:eastAsia="Times New Roman" w:hAnsi="Times New Roman" w:cs="Times New Roman"/>
                <w:b/>
                <w:i/>
                <w:sz w:val="24"/>
                <w:szCs w:val="24"/>
              </w:rPr>
              <w:t xml:space="preserve">по цели 2 </w:t>
            </w:r>
            <w:r>
              <w:rPr>
                <w:rFonts w:ascii="Times New Roman" w:eastAsia="Times New Roman" w:hAnsi="Times New Roman" w:cs="Times New Roman"/>
                <w:i/>
                <w:sz w:val="24"/>
                <w:szCs w:val="24"/>
              </w:rPr>
              <w:t xml:space="preserve">в данном примере будут являться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(1) несоответствия отдельным положениям Лесного кодекса Российской Федерации и иных нормативных правовых актов в отношении восстановления лесных ресурсов (качественная оценка существенности)</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и (или) </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(2) несоответствия, по отдельности или в совокупности превышающие 5 млн руб. – для Объекта 2 (количественная оценка существенности)</w:t>
            </w:r>
          </w:p>
          <w:p w:rsidR="00990696" w:rsidRDefault="003C585F">
            <w:pPr>
              <w:spacing w:line="240" w:lineRule="auto"/>
              <w:ind w:firstLine="708"/>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(3) несоответствия, по отдельности или в совокупности превышающие 1 млн руб. – для Объекта 3 (количественная оценка существенности).</w:t>
            </w:r>
          </w:p>
        </w:tc>
      </w:tr>
    </w:tbl>
    <w:p w:rsidR="00990696" w:rsidRDefault="00990696">
      <w:pPr>
        <w:jc w:val="both"/>
        <w:rPr>
          <w:rFonts w:ascii="Times New Roman" w:eastAsia="Times New Roman" w:hAnsi="Times New Roman" w:cs="Times New Roman"/>
          <w:sz w:val="28"/>
          <w:szCs w:val="28"/>
        </w:rPr>
      </w:pPr>
    </w:p>
    <w:sectPr w:rsidR="00990696" w:rsidSect="00215085">
      <w:headerReference w:type="default" r:id="rId11"/>
      <w:footerReference w:type="default" r:id="rId12"/>
      <w:headerReference w:type="first" r:id="rId13"/>
      <w:footerReference w:type="first" r:id="rId14"/>
      <w:pgSz w:w="11906" w:h="16838"/>
      <w:pgMar w:top="1134" w:right="851" w:bottom="113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B3" w:rsidRDefault="005562B3">
      <w:pPr>
        <w:spacing w:after="0" w:line="240" w:lineRule="auto"/>
      </w:pPr>
      <w:r>
        <w:separator/>
      </w:r>
    </w:p>
  </w:endnote>
  <w:endnote w:type="continuationSeparator" w:id="0">
    <w:p w:rsidR="005562B3" w:rsidRDefault="005562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8C7" w:rsidRDefault="003C18C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8C7" w:rsidRDefault="003C18C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B3" w:rsidRDefault="005562B3">
      <w:pPr>
        <w:spacing w:after="0" w:line="240" w:lineRule="auto"/>
      </w:pPr>
      <w:r>
        <w:separator/>
      </w:r>
    </w:p>
  </w:footnote>
  <w:footnote w:type="continuationSeparator" w:id="0">
    <w:p w:rsidR="005562B3" w:rsidRDefault="005562B3">
      <w:pPr>
        <w:spacing w:after="0" w:line="240" w:lineRule="auto"/>
      </w:pPr>
      <w:r>
        <w:continuationSeparator/>
      </w:r>
    </w:p>
  </w:footnote>
  <w:footnote w:id="1">
    <w:p w:rsidR="003C18C7" w:rsidRDefault="003C18C7">
      <w:pPr>
        <w:spacing w:after="0" w:line="240" w:lineRule="auto"/>
        <w:ind w:firstLine="708"/>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Под однородностью показателя понимается свойство показателя, которое означает, что он измеряет одну и ту же характеристику или свойство в одинаковых или сопоставимых единицах.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8C7" w:rsidRDefault="003C18C7">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PAGE</w:instrText>
    </w:r>
    <w:r>
      <w:rPr>
        <w:rFonts w:ascii="Times New Roman" w:eastAsia="Times New Roman" w:hAnsi="Times New Roman" w:cs="Times New Roman"/>
        <w:sz w:val="28"/>
        <w:szCs w:val="28"/>
      </w:rPr>
      <w:fldChar w:fldCharType="separate"/>
    </w:r>
    <w:r w:rsidR="002837A6">
      <w:rPr>
        <w:rFonts w:ascii="Times New Roman" w:eastAsia="Times New Roman" w:hAnsi="Times New Roman" w:cs="Times New Roman"/>
        <w:noProof/>
        <w:sz w:val="28"/>
        <w:szCs w:val="28"/>
      </w:rPr>
      <w:t>14</w:t>
    </w:r>
    <w:r>
      <w:rPr>
        <w:rFonts w:ascii="Times New Roman" w:eastAsia="Times New Roman" w:hAnsi="Times New Roman" w:cs="Times New Roman"/>
        <w:sz w:val="28"/>
        <w:szCs w:val="28"/>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8C7" w:rsidRDefault="003C18C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D57C23"/>
    <w:multiLevelType w:val="multilevel"/>
    <w:tmpl w:val="61B4AB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696"/>
    <w:rsid w:val="000343BD"/>
    <w:rsid w:val="00053DF0"/>
    <w:rsid w:val="001950EF"/>
    <w:rsid w:val="001B0608"/>
    <w:rsid w:val="00215085"/>
    <w:rsid w:val="002837A6"/>
    <w:rsid w:val="003C18C7"/>
    <w:rsid w:val="003C585F"/>
    <w:rsid w:val="003E6A19"/>
    <w:rsid w:val="004A7291"/>
    <w:rsid w:val="005562B3"/>
    <w:rsid w:val="008D12A7"/>
    <w:rsid w:val="00990696"/>
    <w:rsid w:val="00AC6414"/>
    <w:rsid w:val="00BB254C"/>
    <w:rsid w:val="00BF0610"/>
    <w:rsid w:val="00E53632"/>
    <w:rsid w:val="00E90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1BFBEE-23FB-4185-9B0F-8DF2F13D5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3"/>
    <w:tblPr>
      <w:tblStyleRowBandSize w:val="1"/>
      <w:tblStyleColBandSize w:val="1"/>
      <w:tblCellMar>
        <w:top w:w="100" w:type="dxa"/>
        <w:left w:w="100" w:type="dxa"/>
        <w:bottom w:w="100" w:type="dxa"/>
        <w:right w:w="100" w:type="dxa"/>
      </w:tblCellMar>
    </w:tblPr>
  </w:style>
  <w:style w:type="table" w:customStyle="1" w:styleId="a6">
    <w:basedOn w:val="TableNormal3"/>
    <w:tblPr>
      <w:tblStyleRowBandSize w:val="1"/>
      <w:tblStyleColBandSize w:val="1"/>
      <w:tblCellMar>
        <w:top w:w="100" w:type="dxa"/>
        <w:left w:w="100" w:type="dxa"/>
        <w:bottom w:w="100" w:type="dxa"/>
        <w:right w:w="100" w:type="dxa"/>
      </w:tblCellMar>
    </w:tblPr>
  </w:style>
  <w:style w:type="table" w:customStyle="1" w:styleId="a7">
    <w:basedOn w:val="TableNormal3"/>
    <w:tblPr>
      <w:tblStyleRowBandSize w:val="1"/>
      <w:tblStyleColBandSize w:val="1"/>
      <w:tblCellMar>
        <w:top w:w="100" w:type="dxa"/>
        <w:left w:w="100" w:type="dxa"/>
        <w:bottom w:w="100" w:type="dxa"/>
        <w:right w:w="100" w:type="dxa"/>
      </w:tblCellMar>
    </w:tblPr>
  </w:style>
  <w:style w:type="table" w:customStyle="1" w:styleId="a8">
    <w:basedOn w:val="TableNormal3"/>
    <w:tblPr>
      <w:tblStyleRowBandSize w:val="1"/>
      <w:tblStyleColBandSize w:val="1"/>
      <w:tblCellMar>
        <w:top w:w="100" w:type="dxa"/>
        <w:left w:w="100" w:type="dxa"/>
        <w:bottom w:w="100" w:type="dxa"/>
        <w:right w:w="100" w:type="dxa"/>
      </w:tblCellMar>
    </w:tblPr>
  </w:style>
  <w:style w:type="table" w:customStyle="1" w:styleId="a9">
    <w:basedOn w:val="TableNormal3"/>
    <w:tblPr>
      <w:tblStyleRowBandSize w:val="1"/>
      <w:tblStyleColBandSize w:val="1"/>
      <w:tblCellMar>
        <w:top w:w="100" w:type="dxa"/>
        <w:left w:w="100" w:type="dxa"/>
        <w:bottom w:w="100" w:type="dxa"/>
        <w:right w:w="100" w:type="dxa"/>
      </w:tblCellMar>
    </w:tblPr>
  </w:style>
  <w:style w:type="table" w:customStyle="1" w:styleId="aa">
    <w:basedOn w:val="TableNormal3"/>
    <w:tblPr>
      <w:tblStyleRowBandSize w:val="1"/>
      <w:tblStyleColBandSize w:val="1"/>
      <w:tblCellMar>
        <w:top w:w="100" w:type="dxa"/>
        <w:left w:w="100" w:type="dxa"/>
        <w:bottom w:w="100" w:type="dxa"/>
        <w:right w:w="100" w:type="dxa"/>
      </w:tblCellMar>
    </w:tblPr>
  </w:style>
  <w:style w:type="table" w:customStyle="1" w:styleId="ab">
    <w:basedOn w:val="TableNormal3"/>
    <w:tblPr>
      <w:tblStyleRowBandSize w:val="1"/>
      <w:tblStyleColBandSize w:val="1"/>
      <w:tblCellMar>
        <w:top w:w="100" w:type="dxa"/>
        <w:left w:w="100" w:type="dxa"/>
        <w:bottom w:w="100" w:type="dxa"/>
        <w:right w:w="100" w:type="dxa"/>
      </w:tblCellMar>
    </w:tblPr>
  </w:style>
  <w:style w:type="table" w:customStyle="1" w:styleId="ac">
    <w:basedOn w:val="TableNormal3"/>
    <w:tblPr>
      <w:tblStyleRowBandSize w:val="1"/>
      <w:tblStyleColBandSize w:val="1"/>
      <w:tblCellMar>
        <w:top w:w="100" w:type="dxa"/>
        <w:left w:w="100" w:type="dxa"/>
        <w:bottom w:w="100" w:type="dxa"/>
        <w:right w:w="100" w:type="dxa"/>
      </w:tblCellMar>
    </w:tblPr>
  </w:style>
  <w:style w:type="table" w:customStyle="1" w:styleId="ad">
    <w:basedOn w:val="TableNormal3"/>
    <w:tblPr>
      <w:tblStyleRowBandSize w:val="1"/>
      <w:tblStyleColBandSize w:val="1"/>
      <w:tblCellMar>
        <w:top w:w="100" w:type="dxa"/>
        <w:left w:w="100" w:type="dxa"/>
        <w:bottom w:w="100" w:type="dxa"/>
        <w:right w:w="100" w:type="dxa"/>
      </w:tblCellMar>
    </w:tblPr>
  </w:style>
  <w:style w:type="table" w:customStyle="1" w:styleId="ae">
    <w:basedOn w:val="TableNormal3"/>
    <w:tblPr>
      <w:tblStyleRowBandSize w:val="1"/>
      <w:tblStyleColBandSize w:val="1"/>
      <w:tblCellMar>
        <w:top w:w="100" w:type="dxa"/>
        <w:left w:w="100" w:type="dxa"/>
        <w:bottom w:w="100" w:type="dxa"/>
        <w:right w:w="100" w:type="dxa"/>
      </w:tblCellMar>
    </w:tblPr>
  </w:style>
  <w:style w:type="table" w:customStyle="1" w:styleId="af">
    <w:basedOn w:val="TableNormal3"/>
    <w:tblPr>
      <w:tblStyleRowBandSize w:val="1"/>
      <w:tblStyleColBandSize w:val="1"/>
      <w:tblCellMar>
        <w:top w:w="100" w:type="dxa"/>
        <w:left w:w="100" w:type="dxa"/>
        <w:bottom w:w="100" w:type="dxa"/>
        <w:right w:w="100" w:type="dxa"/>
      </w:tblCellMar>
    </w:tblPr>
  </w:style>
  <w:style w:type="table" w:customStyle="1" w:styleId="af0">
    <w:basedOn w:val="TableNormal3"/>
    <w:tblPr>
      <w:tblStyleRowBandSize w:val="1"/>
      <w:tblStyleColBandSize w:val="1"/>
      <w:tblCellMar>
        <w:top w:w="100" w:type="dxa"/>
        <w:left w:w="100" w:type="dxa"/>
        <w:bottom w:w="100" w:type="dxa"/>
        <w:right w:w="100" w:type="dxa"/>
      </w:tblCellMar>
    </w:tblPr>
  </w:style>
  <w:style w:type="table" w:customStyle="1" w:styleId="af1">
    <w:basedOn w:val="TableNormal3"/>
    <w:tblPr>
      <w:tblStyleRowBandSize w:val="1"/>
      <w:tblStyleColBandSize w:val="1"/>
      <w:tblCellMar>
        <w:top w:w="100" w:type="dxa"/>
        <w:left w:w="100" w:type="dxa"/>
        <w:bottom w:w="100" w:type="dxa"/>
        <w:right w:w="100" w:type="dxa"/>
      </w:tblCellMar>
    </w:tblPr>
  </w:style>
  <w:style w:type="table" w:customStyle="1" w:styleId="af2">
    <w:basedOn w:val="TableNormal3"/>
    <w:tblPr>
      <w:tblStyleRowBandSize w:val="1"/>
      <w:tblStyleColBandSize w:val="1"/>
      <w:tblCellMar>
        <w:top w:w="100" w:type="dxa"/>
        <w:left w:w="100" w:type="dxa"/>
        <w:bottom w:w="100" w:type="dxa"/>
        <w:right w:w="100" w:type="dxa"/>
      </w:tblCellMar>
    </w:tblPr>
  </w:style>
  <w:style w:type="table" w:customStyle="1" w:styleId="af3">
    <w:basedOn w:val="TableNormal3"/>
    <w:tblPr>
      <w:tblStyleRowBandSize w:val="1"/>
      <w:tblStyleColBandSize w:val="1"/>
      <w:tblCellMar>
        <w:top w:w="100" w:type="dxa"/>
        <w:left w:w="100" w:type="dxa"/>
        <w:bottom w:w="100" w:type="dxa"/>
        <w:right w:w="100" w:type="dxa"/>
      </w:tblCellMar>
    </w:tblPr>
  </w:style>
  <w:style w:type="table" w:customStyle="1" w:styleId="af4">
    <w:basedOn w:val="TableNormal3"/>
    <w:tblPr>
      <w:tblStyleRowBandSize w:val="1"/>
      <w:tblStyleColBandSize w:val="1"/>
      <w:tblCellMar>
        <w:top w:w="100" w:type="dxa"/>
        <w:left w:w="100" w:type="dxa"/>
        <w:bottom w:w="100" w:type="dxa"/>
        <w:right w:w="100" w:type="dxa"/>
      </w:tblCellMar>
    </w:tblPr>
  </w:style>
  <w:style w:type="table" w:customStyle="1" w:styleId="af5">
    <w:basedOn w:val="TableNormal3"/>
    <w:tblPr>
      <w:tblStyleRowBandSize w:val="1"/>
      <w:tblStyleColBandSize w:val="1"/>
      <w:tblCellMar>
        <w:top w:w="100" w:type="dxa"/>
        <w:left w:w="100" w:type="dxa"/>
        <w:bottom w:w="100" w:type="dxa"/>
        <w:right w:w="100" w:type="dxa"/>
      </w:tblCellMar>
    </w:tblPr>
  </w:style>
  <w:style w:type="table" w:customStyle="1" w:styleId="af6">
    <w:basedOn w:val="TableNormal3"/>
    <w:tblPr>
      <w:tblStyleRowBandSize w:val="1"/>
      <w:tblStyleColBandSize w:val="1"/>
      <w:tblCellMar>
        <w:top w:w="100" w:type="dxa"/>
        <w:left w:w="100" w:type="dxa"/>
        <w:bottom w:w="100" w:type="dxa"/>
        <w:right w:w="100" w:type="dxa"/>
      </w:tblCellMar>
    </w:tblPr>
  </w:style>
  <w:style w:type="table" w:customStyle="1" w:styleId="af7">
    <w:basedOn w:val="TableNormal3"/>
    <w:tblPr>
      <w:tblStyleRowBandSize w:val="1"/>
      <w:tblStyleColBandSize w:val="1"/>
      <w:tblCellMar>
        <w:top w:w="100" w:type="dxa"/>
        <w:left w:w="100" w:type="dxa"/>
        <w:bottom w:w="100" w:type="dxa"/>
        <w:right w:w="100" w:type="dxa"/>
      </w:tblCellMar>
    </w:tblPr>
  </w:style>
  <w:style w:type="table" w:customStyle="1" w:styleId="af8">
    <w:basedOn w:val="TableNormal3"/>
    <w:tblPr>
      <w:tblStyleRowBandSize w:val="1"/>
      <w:tblStyleColBandSize w:val="1"/>
      <w:tblCellMar>
        <w:top w:w="100" w:type="dxa"/>
        <w:left w:w="100" w:type="dxa"/>
        <w:bottom w:w="100" w:type="dxa"/>
        <w:right w:w="100" w:type="dxa"/>
      </w:tblCellMar>
    </w:tblPr>
  </w:style>
  <w:style w:type="table" w:customStyle="1" w:styleId="af9">
    <w:basedOn w:val="TableNormal3"/>
    <w:tblPr>
      <w:tblStyleRowBandSize w:val="1"/>
      <w:tblStyleColBandSize w:val="1"/>
      <w:tblCellMar>
        <w:top w:w="100" w:type="dxa"/>
        <w:left w:w="100" w:type="dxa"/>
        <w:bottom w:w="100" w:type="dxa"/>
        <w:right w:w="100" w:type="dxa"/>
      </w:tblCellMar>
    </w:tblPr>
  </w:style>
  <w:style w:type="table" w:customStyle="1" w:styleId="afa">
    <w:basedOn w:val="TableNormal3"/>
    <w:tblPr>
      <w:tblStyleRowBandSize w:val="1"/>
      <w:tblStyleColBandSize w:val="1"/>
      <w:tblCellMar>
        <w:top w:w="100" w:type="dxa"/>
        <w:left w:w="100" w:type="dxa"/>
        <w:bottom w:w="100" w:type="dxa"/>
        <w:right w:w="100" w:type="dxa"/>
      </w:tblCellMar>
    </w:tblPr>
  </w:style>
  <w:style w:type="table" w:customStyle="1" w:styleId="afb">
    <w:basedOn w:val="TableNormal3"/>
    <w:tblPr>
      <w:tblStyleRowBandSize w:val="1"/>
      <w:tblStyleColBandSize w:val="1"/>
      <w:tblCellMar>
        <w:top w:w="100" w:type="dxa"/>
        <w:left w:w="100" w:type="dxa"/>
        <w:bottom w:w="100" w:type="dxa"/>
        <w:right w:w="100" w:type="dxa"/>
      </w:tblCellMar>
    </w:tblPr>
  </w:style>
  <w:style w:type="table" w:customStyle="1" w:styleId="afc">
    <w:basedOn w:val="TableNormal3"/>
    <w:tblPr>
      <w:tblStyleRowBandSize w:val="1"/>
      <w:tblStyleColBandSize w:val="1"/>
      <w:tblCellMar>
        <w:top w:w="100" w:type="dxa"/>
        <w:left w:w="100" w:type="dxa"/>
        <w:bottom w:w="100" w:type="dxa"/>
        <w:right w:w="100" w:type="dxa"/>
      </w:tblCellMar>
    </w:tblPr>
  </w:style>
  <w:style w:type="table" w:customStyle="1" w:styleId="afd">
    <w:basedOn w:val="TableNormal3"/>
    <w:tblPr>
      <w:tblStyleRowBandSize w:val="1"/>
      <w:tblStyleColBandSize w:val="1"/>
      <w:tblCellMar>
        <w:top w:w="100" w:type="dxa"/>
        <w:left w:w="100" w:type="dxa"/>
        <w:bottom w:w="100" w:type="dxa"/>
        <w:right w:w="100" w:type="dxa"/>
      </w:tblCellMar>
    </w:tblPr>
  </w:style>
  <w:style w:type="table" w:customStyle="1" w:styleId="afe">
    <w:basedOn w:val="TableNormal3"/>
    <w:tblPr>
      <w:tblStyleRowBandSize w:val="1"/>
      <w:tblStyleColBandSize w:val="1"/>
      <w:tblCellMar>
        <w:top w:w="100" w:type="dxa"/>
        <w:left w:w="100" w:type="dxa"/>
        <w:bottom w:w="100" w:type="dxa"/>
        <w:right w:w="100" w:type="dxa"/>
      </w:tblCellMar>
    </w:tblPr>
  </w:style>
  <w:style w:type="table" w:customStyle="1" w:styleId="aff">
    <w:basedOn w:val="TableNormal3"/>
    <w:tblPr>
      <w:tblStyleRowBandSize w:val="1"/>
      <w:tblStyleColBandSize w:val="1"/>
      <w:tblCellMar>
        <w:top w:w="100" w:type="dxa"/>
        <w:left w:w="100" w:type="dxa"/>
        <w:bottom w:w="100" w:type="dxa"/>
        <w:right w:w="100" w:type="dxa"/>
      </w:tblCellMar>
    </w:tblPr>
  </w:style>
  <w:style w:type="table" w:customStyle="1" w:styleId="aff0">
    <w:basedOn w:val="TableNormal3"/>
    <w:tblPr>
      <w:tblStyleRowBandSize w:val="1"/>
      <w:tblStyleColBandSize w:val="1"/>
      <w:tblCellMar>
        <w:top w:w="100" w:type="dxa"/>
        <w:left w:w="100" w:type="dxa"/>
        <w:bottom w:w="100" w:type="dxa"/>
        <w:right w:w="100" w:type="dxa"/>
      </w:tblCellMar>
    </w:tblPr>
  </w:style>
  <w:style w:type="table" w:customStyle="1" w:styleId="aff1">
    <w:basedOn w:val="TableNormal3"/>
    <w:tblPr>
      <w:tblStyleRowBandSize w:val="1"/>
      <w:tblStyleColBandSize w:val="1"/>
      <w:tblCellMar>
        <w:top w:w="100" w:type="dxa"/>
        <w:left w:w="100" w:type="dxa"/>
        <w:bottom w:w="100" w:type="dxa"/>
        <w:right w:w="100" w:type="dxa"/>
      </w:tblCellMar>
    </w:tblPr>
  </w:style>
  <w:style w:type="table" w:customStyle="1" w:styleId="aff2">
    <w:basedOn w:val="TableNormal3"/>
    <w:tblPr>
      <w:tblStyleRowBandSize w:val="1"/>
      <w:tblStyleColBandSize w:val="1"/>
      <w:tblCellMar>
        <w:top w:w="100" w:type="dxa"/>
        <w:left w:w="100" w:type="dxa"/>
        <w:bottom w:w="100" w:type="dxa"/>
        <w:right w:w="100" w:type="dxa"/>
      </w:tblCellMar>
    </w:tblPr>
  </w:style>
  <w:style w:type="table" w:customStyle="1" w:styleId="aff3">
    <w:basedOn w:val="TableNormal3"/>
    <w:tblPr>
      <w:tblStyleRowBandSize w:val="1"/>
      <w:tblStyleColBandSize w:val="1"/>
      <w:tblCellMar>
        <w:top w:w="100" w:type="dxa"/>
        <w:left w:w="100" w:type="dxa"/>
        <w:bottom w:w="100" w:type="dxa"/>
        <w:right w:w="100" w:type="dxa"/>
      </w:tblCellMar>
    </w:tblPr>
  </w:style>
  <w:style w:type="table" w:customStyle="1" w:styleId="aff4">
    <w:basedOn w:val="TableNormal3"/>
    <w:tblPr>
      <w:tblStyleRowBandSize w:val="1"/>
      <w:tblStyleColBandSize w:val="1"/>
      <w:tblCellMar>
        <w:top w:w="100" w:type="dxa"/>
        <w:left w:w="100" w:type="dxa"/>
        <w:bottom w:w="100" w:type="dxa"/>
        <w:right w:w="100" w:type="dxa"/>
      </w:tblCellMar>
    </w:tblPr>
  </w:style>
  <w:style w:type="table" w:customStyle="1" w:styleId="aff5">
    <w:basedOn w:val="TableNormal3"/>
    <w:tblPr>
      <w:tblStyleRowBandSize w:val="1"/>
      <w:tblStyleColBandSize w:val="1"/>
      <w:tblCellMar>
        <w:top w:w="100" w:type="dxa"/>
        <w:left w:w="100" w:type="dxa"/>
        <w:bottom w:w="100" w:type="dxa"/>
        <w:right w:w="100" w:type="dxa"/>
      </w:tblCellMar>
    </w:tblPr>
  </w:style>
  <w:style w:type="table" w:customStyle="1" w:styleId="aff6">
    <w:basedOn w:val="TableNormal3"/>
    <w:tblPr>
      <w:tblStyleRowBandSize w:val="1"/>
      <w:tblStyleColBandSize w:val="1"/>
      <w:tblCellMar>
        <w:top w:w="100" w:type="dxa"/>
        <w:left w:w="100" w:type="dxa"/>
        <w:bottom w:w="100" w:type="dxa"/>
        <w:right w:w="100" w:type="dxa"/>
      </w:tblCellMar>
    </w:tblPr>
  </w:style>
  <w:style w:type="table" w:customStyle="1" w:styleId="aff7">
    <w:basedOn w:val="TableNormal3"/>
    <w:tblPr>
      <w:tblStyleRowBandSize w:val="1"/>
      <w:tblStyleColBandSize w:val="1"/>
      <w:tblCellMar>
        <w:top w:w="100" w:type="dxa"/>
        <w:left w:w="100" w:type="dxa"/>
        <w:bottom w:w="100" w:type="dxa"/>
        <w:right w:w="100" w:type="dxa"/>
      </w:tblCellMar>
    </w:tblPr>
  </w:style>
  <w:style w:type="table" w:customStyle="1" w:styleId="aff8">
    <w:basedOn w:val="TableNormal3"/>
    <w:tblPr>
      <w:tblStyleRowBandSize w:val="1"/>
      <w:tblStyleColBandSize w:val="1"/>
      <w:tblCellMar>
        <w:top w:w="100" w:type="dxa"/>
        <w:left w:w="100" w:type="dxa"/>
        <w:bottom w:w="100" w:type="dxa"/>
        <w:right w:w="100" w:type="dxa"/>
      </w:tblCellMar>
    </w:tblPr>
  </w:style>
  <w:style w:type="table" w:customStyle="1" w:styleId="aff9">
    <w:basedOn w:val="TableNormal3"/>
    <w:tblPr>
      <w:tblStyleRowBandSize w:val="1"/>
      <w:tblStyleColBandSize w:val="1"/>
      <w:tblCellMar>
        <w:top w:w="100" w:type="dxa"/>
        <w:left w:w="100" w:type="dxa"/>
        <w:bottom w:w="100" w:type="dxa"/>
        <w:right w:w="100" w:type="dxa"/>
      </w:tblCellMar>
    </w:tblPr>
  </w:style>
  <w:style w:type="table" w:customStyle="1" w:styleId="affa">
    <w:basedOn w:val="TableNormal3"/>
    <w:tblPr>
      <w:tblStyleRowBandSize w:val="1"/>
      <w:tblStyleColBandSize w:val="1"/>
      <w:tblCellMar>
        <w:top w:w="100" w:type="dxa"/>
        <w:left w:w="100" w:type="dxa"/>
        <w:bottom w:w="100" w:type="dxa"/>
        <w:right w:w="100" w:type="dxa"/>
      </w:tblCellMar>
    </w:tblPr>
  </w:style>
  <w:style w:type="table" w:customStyle="1" w:styleId="affb">
    <w:basedOn w:val="TableNormal3"/>
    <w:tblPr>
      <w:tblStyleRowBandSize w:val="1"/>
      <w:tblStyleColBandSize w:val="1"/>
      <w:tblCellMar>
        <w:top w:w="100" w:type="dxa"/>
        <w:left w:w="100" w:type="dxa"/>
        <w:bottom w:w="100" w:type="dxa"/>
        <w:right w:w="100" w:type="dxa"/>
      </w:tblCellMar>
    </w:tblPr>
  </w:style>
  <w:style w:type="table" w:customStyle="1" w:styleId="affc">
    <w:basedOn w:val="TableNormal3"/>
    <w:tblPr>
      <w:tblStyleRowBandSize w:val="1"/>
      <w:tblStyleColBandSize w:val="1"/>
      <w:tblCellMar>
        <w:top w:w="100" w:type="dxa"/>
        <w:left w:w="100" w:type="dxa"/>
        <w:bottom w:w="100" w:type="dxa"/>
        <w:right w:w="100" w:type="dxa"/>
      </w:tblCellMar>
    </w:tblPr>
  </w:style>
  <w:style w:type="table" w:customStyle="1" w:styleId="affd">
    <w:basedOn w:val="TableNormal3"/>
    <w:tblPr>
      <w:tblStyleRowBandSize w:val="1"/>
      <w:tblStyleColBandSize w:val="1"/>
      <w:tblCellMar>
        <w:top w:w="100" w:type="dxa"/>
        <w:left w:w="100" w:type="dxa"/>
        <w:bottom w:w="100" w:type="dxa"/>
        <w:right w:w="100" w:type="dxa"/>
      </w:tblCellMar>
    </w:tblPr>
  </w:style>
  <w:style w:type="table" w:customStyle="1" w:styleId="affe">
    <w:basedOn w:val="TableNormal3"/>
    <w:tblPr>
      <w:tblStyleRowBandSize w:val="1"/>
      <w:tblStyleColBandSize w:val="1"/>
      <w:tblCellMar>
        <w:top w:w="100" w:type="dxa"/>
        <w:left w:w="100" w:type="dxa"/>
        <w:bottom w:w="100" w:type="dxa"/>
        <w:right w:w="100" w:type="dxa"/>
      </w:tblCellMar>
    </w:tblPr>
  </w:style>
  <w:style w:type="table" w:customStyle="1" w:styleId="afff">
    <w:basedOn w:val="TableNormal3"/>
    <w:tblPr>
      <w:tblStyleRowBandSize w:val="1"/>
      <w:tblStyleColBandSize w:val="1"/>
      <w:tblCellMar>
        <w:top w:w="100" w:type="dxa"/>
        <w:left w:w="100" w:type="dxa"/>
        <w:bottom w:w="100" w:type="dxa"/>
        <w:right w:w="100" w:type="dxa"/>
      </w:tblCellMar>
    </w:tblPr>
  </w:style>
  <w:style w:type="table" w:customStyle="1" w:styleId="afff0">
    <w:basedOn w:val="TableNormal3"/>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9uyxhd8MMi0Re9E5zjqICugcH8w==">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68A2CBA-489B-45EF-ADE9-5F4D0D758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14</Pages>
  <Words>3602</Words>
  <Characters>20536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Малярова Е.Д.</dc:creator>
  <cp:lastModifiedBy>Пешехонова</cp:lastModifiedBy>
  <cp:revision>13</cp:revision>
  <dcterms:created xsi:type="dcterms:W3CDTF">2024-04-12T11:20:00Z</dcterms:created>
  <dcterms:modified xsi:type="dcterms:W3CDTF">2024-11-22T12:27:00Z</dcterms:modified>
</cp:coreProperties>
</file>